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20DA8" w14:textId="29E95889" w:rsidR="00495A9A" w:rsidRPr="00A17D9B" w:rsidRDefault="00E9662D" w:rsidP="00CD2C63">
      <w:pPr>
        <w:pStyle w:val="Ttulo"/>
        <w:rPr>
          <w:noProof/>
          <w:lang w:val="en-GB"/>
        </w:rPr>
      </w:pPr>
      <w:r w:rsidRPr="00A17D9B">
        <w:rPr>
          <w:noProof/>
          <w:lang w:val="en-GB"/>
        </w:rPr>
        <w:t>A Metric of Common Goods D</w:t>
      </w:r>
      <w:r w:rsidR="00F42315" w:rsidRPr="00A17D9B">
        <w:rPr>
          <w:noProof/>
          <w:lang w:val="en-GB"/>
        </w:rPr>
        <w:t>ynamics</w:t>
      </w:r>
    </w:p>
    <w:p w14:paraId="0A3CDBF4" w14:textId="77777777" w:rsidR="00CD2C63" w:rsidRPr="00A17D9B" w:rsidRDefault="00CD2C63" w:rsidP="00ED0A69">
      <w:pPr>
        <w:jc w:val="center"/>
        <w:rPr>
          <w:i/>
          <w:iCs/>
          <w:noProof/>
          <w:lang w:val="en-US"/>
        </w:rPr>
      </w:pPr>
    </w:p>
    <w:p w14:paraId="2792D560" w14:textId="66F6916D" w:rsidR="00250DEA" w:rsidRPr="00A17D9B" w:rsidRDefault="00F42315" w:rsidP="00ED0A69">
      <w:pPr>
        <w:jc w:val="center"/>
        <w:rPr>
          <w:i/>
          <w:iCs/>
          <w:noProof/>
        </w:rPr>
      </w:pPr>
      <w:r w:rsidRPr="00A17D9B">
        <w:rPr>
          <w:i/>
          <w:iCs/>
          <w:noProof/>
        </w:rPr>
        <w:t>Mathias Nebel</w:t>
      </w:r>
      <w:r w:rsidR="00CD2C63" w:rsidRPr="00A17D9B">
        <w:rPr>
          <w:rStyle w:val="Refdenotaalpie"/>
          <w:i/>
          <w:iCs/>
          <w:noProof/>
        </w:rPr>
        <w:footnoteReference w:id="1"/>
      </w:r>
      <w:r w:rsidR="002C019A" w:rsidRPr="00A17D9B">
        <w:rPr>
          <w:i/>
          <w:iCs/>
          <w:noProof/>
        </w:rPr>
        <w:t xml:space="preserve"> &amp; Ignacio Arbesu</w:t>
      </w:r>
      <w:r w:rsidR="00CD2C63" w:rsidRPr="00A17D9B">
        <w:rPr>
          <w:i/>
          <w:iCs/>
          <w:noProof/>
        </w:rPr>
        <w:t>-</w:t>
      </w:r>
      <w:r w:rsidR="002C019A" w:rsidRPr="00A17D9B">
        <w:rPr>
          <w:i/>
          <w:iCs/>
          <w:noProof/>
        </w:rPr>
        <w:t>Verduzco</w:t>
      </w:r>
      <w:r w:rsidR="00CD2C63" w:rsidRPr="00A17D9B">
        <w:rPr>
          <w:rStyle w:val="Refdenotaalpie"/>
          <w:i/>
          <w:iCs/>
          <w:noProof/>
        </w:rPr>
        <w:footnoteReference w:id="2"/>
      </w:r>
    </w:p>
    <w:p w14:paraId="716BDBD6" w14:textId="77777777" w:rsidR="00ED0A69" w:rsidRPr="00A17D9B" w:rsidRDefault="00ED0A69" w:rsidP="003A0863">
      <w:pPr>
        <w:pStyle w:val="Ttulo1"/>
        <w:rPr>
          <w:noProof/>
        </w:rPr>
      </w:pPr>
    </w:p>
    <w:p w14:paraId="3F76EA06" w14:textId="5FFA8634" w:rsidR="00ED0A69" w:rsidRPr="00A17D9B" w:rsidRDefault="007623CF" w:rsidP="007623CF">
      <w:pPr>
        <w:pStyle w:val="Subttulo"/>
        <w:jc w:val="right"/>
        <w:rPr>
          <w:noProof/>
          <w:lang w:val="en-US"/>
        </w:rPr>
      </w:pPr>
      <w:r w:rsidRPr="00A17D9B">
        <w:rPr>
          <w:noProof/>
          <w:lang w:val="en-US"/>
        </w:rPr>
        <w:t>SUMMARY</w:t>
      </w:r>
    </w:p>
    <w:p w14:paraId="3041740D" w14:textId="1B51DA5C" w:rsidR="00F956FA" w:rsidRPr="00A17D9B" w:rsidRDefault="00F956FA" w:rsidP="007623CF">
      <w:pPr>
        <w:jc w:val="both"/>
        <w:rPr>
          <w:rFonts w:cs="Times New Roman"/>
          <w:i/>
          <w:iCs/>
          <w:noProof/>
          <w:lang w:val="en-GB"/>
        </w:rPr>
      </w:pPr>
      <w:r w:rsidRPr="00A17D9B">
        <w:rPr>
          <w:rFonts w:cs="Times New Roman"/>
          <w:i/>
          <w:iCs/>
          <w:noProof/>
          <w:lang w:val="en-GB"/>
        </w:rPr>
        <w:t>This article proposes a common good approach to development. In the first part, we formalize what we understand by such an approach and propose a matrix of common good dynamics. The second part develops a metric to capture at the level of municipalities the present dynamic of the nexus of common goods. The third part revise</w:t>
      </w:r>
      <w:r w:rsidR="007B4BB3" w:rsidRPr="00A17D9B">
        <w:rPr>
          <w:rFonts w:cs="Times New Roman"/>
          <w:i/>
          <w:iCs/>
          <w:noProof/>
          <w:lang w:val="en-GB"/>
        </w:rPr>
        <w:t>s</w:t>
      </w:r>
      <w:r w:rsidRPr="00A17D9B">
        <w:rPr>
          <w:rFonts w:cs="Times New Roman"/>
          <w:i/>
          <w:iCs/>
          <w:noProof/>
          <w:lang w:val="en-GB"/>
        </w:rPr>
        <w:t xml:space="preserve"> how we can appraise and understand th</w:t>
      </w:r>
      <w:r w:rsidR="007B4BB3" w:rsidRPr="00A17D9B">
        <w:rPr>
          <w:rFonts w:cs="Times New Roman"/>
          <w:i/>
          <w:iCs/>
          <w:noProof/>
          <w:lang w:val="en-GB"/>
        </w:rPr>
        <w:t>e data we get from the metric. The</w:t>
      </w:r>
      <w:r w:rsidRPr="00A17D9B">
        <w:rPr>
          <w:rFonts w:cs="Times New Roman"/>
          <w:i/>
          <w:iCs/>
          <w:noProof/>
          <w:lang w:val="en-GB"/>
        </w:rPr>
        <w:t xml:space="preserve"> last p</w:t>
      </w:r>
      <w:r w:rsidR="007B4BB3" w:rsidRPr="00A17D9B">
        <w:rPr>
          <w:rFonts w:cs="Times New Roman"/>
          <w:i/>
          <w:iCs/>
          <w:noProof/>
          <w:lang w:val="en-GB"/>
        </w:rPr>
        <w:t>art is dedicated to the value that</w:t>
      </w:r>
      <w:r w:rsidRPr="00A17D9B">
        <w:rPr>
          <w:rFonts w:cs="Times New Roman"/>
          <w:i/>
          <w:iCs/>
          <w:noProof/>
          <w:lang w:val="en-GB"/>
        </w:rPr>
        <w:t xml:space="preserve"> the added information</w:t>
      </w:r>
      <w:r w:rsidR="007B4BB3" w:rsidRPr="00A17D9B">
        <w:rPr>
          <w:rFonts w:cs="Times New Roman"/>
          <w:i/>
          <w:iCs/>
          <w:noProof/>
          <w:lang w:val="en-GB"/>
        </w:rPr>
        <w:t xml:space="preserve"> from the given</w:t>
      </w:r>
      <w:r w:rsidRPr="00A17D9B">
        <w:rPr>
          <w:rFonts w:cs="Times New Roman"/>
          <w:i/>
          <w:iCs/>
          <w:noProof/>
          <w:lang w:val="en-GB"/>
        </w:rPr>
        <w:t xml:space="preserve"> approach may provide to development practitionners. </w:t>
      </w:r>
    </w:p>
    <w:p w14:paraId="76427591" w14:textId="25F17F99" w:rsidR="007623CF" w:rsidRPr="00A17D9B" w:rsidRDefault="007623CF" w:rsidP="007623CF">
      <w:pPr>
        <w:pStyle w:val="Textoindependiente2"/>
        <w:rPr>
          <w:sz w:val="22"/>
          <w:szCs w:val="24"/>
          <w:lang w:val="en-GB"/>
        </w:rPr>
      </w:pPr>
      <w:r w:rsidRPr="00A17D9B">
        <w:rPr>
          <w:bCs/>
          <w:i w:val="0"/>
          <w:iCs w:val="0"/>
          <w:sz w:val="22"/>
          <w:szCs w:val="24"/>
          <w:lang w:val="en-GB"/>
        </w:rPr>
        <w:t>Key words: development, common good approach, social dynamics, Mexico</w:t>
      </w:r>
      <w:r w:rsidRPr="00A17D9B">
        <w:rPr>
          <w:iCs w:val="0"/>
          <w:sz w:val="22"/>
          <w:szCs w:val="24"/>
          <w:lang w:val="en-GB"/>
        </w:rPr>
        <w:t>.</w:t>
      </w:r>
    </w:p>
    <w:p w14:paraId="6EA52D7D" w14:textId="3CB8C6AE" w:rsidR="007623CF" w:rsidRPr="00A17D9B" w:rsidRDefault="007623CF" w:rsidP="007623CF">
      <w:pPr>
        <w:jc w:val="both"/>
        <w:rPr>
          <w:i/>
          <w:iCs/>
          <w:szCs w:val="24"/>
          <w:lang w:val="fr-FR"/>
        </w:rPr>
      </w:pPr>
      <w:r w:rsidRPr="00A17D9B">
        <w:rPr>
          <w:bCs/>
          <w:i/>
          <w:iCs/>
          <w:szCs w:val="24"/>
          <w:lang w:val="fr-FR"/>
        </w:rPr>
        <w:t xml:space="preserve">JEL </w:t>
      </w:r>
      <w:proofErr w:type="gramStart"/>
      <w:r w:rsidRPr="00A17D9B">
        <w:rPr>
          <w:bCs/>
          <w:i/>
          <w:iCs/>
          <w:szCs w:val="24"/>
          <w:lang w:val="fr-FR"/>
        </w:rPr>
        <w:t>Classification:</w:t>
      </w:r>
      <w:proofErr w:type="gramEnd"/>
      <w:r w:rsidRPr="00A17D9B">
        <w:rPr>
          <w:bCs/>
          <w:i/>
          <w:iCs/>
          <w:szCs w:val="24"/>
          <w:lang w:val="fr-FR"/>
        </w:rPr>
        <w:t xml:space="preserve">  </w:t>
      </w:r>
      <w:r w:rsidRPr="00A17D9B">
        <w:rPr>
          <w:bCs/>
          <w:iCs/>
          <w:szCs w:val="24"/>
          <w:lang w:val="fr-FR"/>
        </w:rPr>
        <w:t>O10; Z13; Y80</w:t>
      </w:r>
    </w:p>
    <w:p w14:paraId="51CF1151" w14:textId="77777777" w:rsidR="007623CF" w:rsidRPr="00A17D9B" w:rsidRDefault="007623CF" w:rsidP="007623CF">
      <w:pPr>
        <w:jc w:val="both"/>
        <w:rPr>
          <w:b/>
          <w:bCs/>
          <w:lang w:val="fr-FR"/>
        </w:rPr>
      </w:pPr>
    </w:p>
    <w:p w14:paraId="2B805B7C" w14:textId="77777777" w:rsidR="007623CF" w:rsidRPr="00A17D9B" w:rsidRDefault="007623CF" w:rsidP="00ED0A69">
      <w:pPr>
        <w:rPr>
          <w:i/>
          <w:iCs/>
          <w:noProof/>
          <w:lang w:val="fr-FR"/>
        </w:rPr>
      </w:pPr>
    </w:p>
    <w:p w14:paraId="2BCF0C78" w14:textId="77777777" w:rsidR="00ED0A69" w:rsidRPr="00A17D9B" w:rsidRDefault="00ED0A69" w:rsidP="003A0863">
      <w:pPr>
        <w:pStyle w:val="Ttulo1"/>
        <w:rPr>
          <w:noProof/>
          <w:lang w:val="fr-FR"/>
        </w:rPr>
      </w:pPr>
    </w:p>
    <w:p w14:paraId="33F6F24F" w14:textId="4FFCAEE9" w:rsidR="003A0863" w:rsidRPr="00A17D9B" w:rsidRDefault="003A0863" w:rsidP="007623CF">
      <w:pPr>
        <w:pStyle w:val="Ttulo1"/>
        <w:jc w:val="right"/>
        <w:rPr>
          <w:noProof/>
          <w:lang w:val="fr-FR"/>
        </w:rPr>
      </w:pPr>
      <w:r w:rsidRPr="00A17D9B">
        <w:rPr>
          <w:noProof/>
          <w:lang w:val="fr-FR"/>
        </w:rPr>
        <w:t>Introduction</w:t>
      </w:r>
    </w:p>
    <w:p w14:paraId="23BA9AFD" w14:textId="53B47918" w:rsidR="003A0863" w:rsidRPr="00A17D9B" w:rsidRDefault="00E9662D" w:rsidP="007623CF">
      <w:pPr>
        <w:pStyle w:val="Subttulo"/>
        <w:jc w:val="right"/>
        <w:rPr>
          <w:noProof/>
          <w:lang w:val="en-GB"/>
        </w:rPr>
      </w:pPr>
      <w:r w:rsidRPr="00A17D9B">
        <w:rPr>
          <w:noProof/>
          <w:lang w:val="en-GB"/>
        </w:rPr>
        <w:t>Aim of the R</w:t>
      </w:r>
      <w:r w:rsidR="003A0863" w:rsidRPr="00A17D9B">
        <w:rPr>
          <w:noProof/>
          <w:lang w:val="en-GB"/>
        </w:rPr>
        <w:t xml:space="preserve">esearch </w:t>
      </w:r>
      <w:r w:rsidRPr="00A17D9B">
        <w:rPr>
          <w:noProof/>
          <w:lang w:val="en-GB"/>
        </w:rPr>
        <w:t>P</w:t>
      </w:r>
      <w:r w:rsidR="003A0863" w:rsidRPr="00A17D9B">
        <w:rPr>
          <w:noProof/>
          <w:lang w:val="en-GB"/>
        </w:rPr>
        <w:t>roject</w:t>
      </w:r>
    </w:p>
    <w:p w14:paraId="6A38AF7A" w14:textId="3A659991" w:rsidR="000E5BA6" w:rsidRPr="00A17D9B" w:rsidRDefault="000E5BA6" w:rsidP="00832FFA">
      <w:pPr>
        <w:jc w:val="both"/>
        <w:rPr>
          <w:rFonts w:ascii="Garamond" w:hAnsi="Garamond"/>
          <w:noProof/>
          <w:sz w:val="24"/>
          <w:szCs w:val="24"/>
          <w:lang w:val="en-GB"/>
        </w:rPr>
      </w:pPr>
      <w:r w:rsidRPr="00A17D9B">
        <w:rPr>
          <w:rFonts w:ascii="Garamond" w:hAnsi="Garamond"/>
          <w:noProof/>
          <w:sz w:val="24"/>
          <w:szCs w:val="24"/>
          <w:lang w:val="en-GB"/>
        </w:rPr>
        <w:t xml:space="preserve">The research question addressed by this paper </w:t>
      </w:r>
      <w:r w:rsidR="00920CD8" w:rsidRPr="00A17D9B">
        <w:rPr>
          <w:rFonts w:ascii="Garamond" w:hAnsi="Garamond"/>
          <w:noProof/>
          <w:sz w:val="24"/>
          <w:szCs w:val="24"/>
          <w:lang w:val="en-GB"/>
        </w:rPr>
        <w:t xml:space="preserve">is </w:t>
      </w:r>
      <w:r w:rsidRPr="00A17D9B">
        <w:rPr>
          <w:rFonts w:ascii="Garamond" w:hAnsi="Garamond"/>
          <w:noProof/>
          <w:sz w:val="24"/>
          <w:szCs w:val="24"/>
          <w:lang w:val="en-GB"/>
        </w:rPr>
        <w:t xml:space="preserve">quite straightforward: </w:t>
      </w:r>
      <w:r w:rsidRPr="00A17D9B">
        <w:rPr>
          <w:rFonts w:ascii="Garamond" w:hAnsi="Garamond"/>
          <w:i/>
          <w:noProof/>
          <w:sz w:val="24"/>
          <w:szCs w:val="24"/>
          <w:lang w:val="en-GB"/>
        </w:rPr>
        <w:t xml:space="preserve">How can we assess and measure the quality of a given </w:t>
      </w:r>
      <w:r w:rsidR="000D5470" w:rsidRPr="00A17D9B">
        <w:rPr>
          <w:rFonts w:ascii="Garamond" w:hAnsi="Garamond"/>
          <w:i/>
          <w:noProof/>
          <w:sz w:val="24"/>
          <w:szCs w:val="24"/>
          <w:lang w:val="en-GB"/>
        </w:rPr>
        <w:t>‘</w:t>
      </w:r>
      <w:r w:rsidRPr="00A17D9B">
        <w:rPr>
          <w:rFonts w:ascii="Garamond" w:hAnsi="Garamond"/>
          <w:i/>
          <w:noProof/>
          <w:sz w:val="24"/>
          <w:szCs w:val="24"/>
          <w:lang w:val="en-GB"/>
        </w:rPr>
        <w:t>system of common goods</w:t>
      </w:r>
      <w:r w:rsidR="000D5470" w:rsidRPr="00A17D9B">
        <w:rPr>
          <w:rFonts w:ascii="Garamond" w:hAnsi="Garamond"/>
          <w:i/>
          <w:noProof/>
          <w:sz w:val="24"/>
          <w:szCs w:val="24"/>
          <w:lang w:val="en-GB"/>
        </w:rPr>
        <w:t>’</w:t>
      </w:r>
      <w:r w:rsidRPr="00A17D9B">
        <w:rPr>
          <w:rFonts w:ascii="Garamond" w:hAnsi="Garamond"/>
          <w:i/>
          <w:noProof/>
          <w:sz w:val="24"/>
          <w:szCs w:val="24"/>
          <w:lang w:val="en-GB"/>
        </w:rPr>
        <w:t xml:space="preserve"> at </w:t>
      </w:r>
      <w:r w:rsidR="000D5470" w:rsidRPr="00A17D9B">
        <w:rPr>
          <w:rFonts w:ascii="Garamond" w:hAnsi="Garamond"/>
          <w:i/>
          <w:noProof/>
          <w:sz w:val="24"/>
          <w:szCs w:val="24"/>
          <w:lang w:val="en-GB"/>
        </w:rPr>
        <w:t xml:space="preserve">the </w:t>
      </w:r>
      <w:r w:rsidRPr="00A17D9B">
        <w:rPr>
          <w:rFonts w:ascii="Garamond" w:hAnsi="Garamond"/>
          <w:i/>
          <w:noProof/>
          <w:sz w:val="24"/>
          <w:szCs w:val="24"/>
          <w:lang w:val="en-GB"/>
        </w:rPr>
        <w:t>local level?</w:t>
      </w:r>
      <w:r w:rsidRPr="00A17D9B">
        <w:rPr>
          <w:rFonts w:ascii="Garamond" w:hAnsi="Garamond"/>
          <w:noProof/>
          <w:sz w:val="24"/>
          <w:szCs w:val="24"/>
          <w:lang w:val="en-GB"/>
        </w:rPr>
        <w:t xml:space="preserve"> This</w:t>
      </w:r>
      <w:r w:rsidR="000D5470" w:rsidRPr="00A17D9B">
        <w:rPr>
          <w:rFonts w:ascii="Garamond" w:hAnsi="Garamond"/>
          <w:noProof/>
          <w:sz w:val="24"/>
          <w:szCs w:val="24"/>
          <w:lang w:val="en-GB"/>
        </w:rPr>
        <w:t xml:space="preserve"> first</w:t>
      </w:r>
      <w:r w:rsidRPr="00A17D9B">
        <w:rPr>
          <w:rFonts w:ascii="Garamond" w:hAnsi="Garamond"/>
          <w:noProof/>
          <w:sz w:val="24"/>
          <w:szCs w:val="24"/>
          <w:lang w:val="en-GB"/>
        </w:rPr>
        <w:t xml:space="preserve"> </w:t>
      </w:r>
      <w:r w:rsidR="000D5470" w:rsidRPr="00A17D9B">
        <w:rPr>
          <w:rFonts w:ascii="Garamond" w:hAnsi="Garamond"/>
          <w:noProof/>
          <w:sz w:val="24"/>
          <w:szCs w:val="24"/>
          <w:lang w:val="en-GB"/>
        </w:rPr>
        <w:t xml:space="preserve">query </w:t>
      </w:r>
      <w:r w:rsidRPr="00A17D9B">
        <w:rPr>
          <w:rFonts w:ascii="Garamond" w:hAnsi="Garamond"/>
          <w:noProof/>
          <w:sz w:val="24"/>
          <w:szCs w:val="24"/>
          <w:lang w:val="en-GB"/>
        </w:rPr>
        <w:t xml:space="preserve">obviously involves several others: What do we understand by ‘common goods’? Is it meaningful to adopt a common good perspective on development? Should we really add to the ever-growing list of indicators </w:t>
      </w:r>
      <w:r w:rsidR="00ED0A69" w:rsidRPr="00A17D9B">
        <w:rPr>
          <w:rFonts w:ascii="Garamond" w:hAnsi="Garamond"/>
          <w:noProof/>
          <w:sz w:val="24"/>
          <w:szCs w:val="24"/>
          <w:lang w:val="en-GB"/>
        </w:rPr>
        <w:t>and metric</w:t>
      </w:r>
      <w:r w:rsidR="00E9662D" w:rsidRPr="00A17D9B">
        <w:rPr>
          <w:rFonts w:ascii="Garamond" w:hAnsi="Garamond"/>
          <w:noProof/>
          <w:sz w:val="24"/>
          <w:szCs w:val="24"/>
          <w:lang w:val="en-GB"/>
        </w:rPr>
        <w:t>s,</w:t>
      </w:r>
      <w:r w:rsidR="00ED0A69" w:rsidRPr="00A17D9B">
        <w:rPr>
          <w:rFonts w:ascii="Garamond" w:hAnsi="Garamond"/>
          <w:noProof/>
          <w:sz w:val="24"/>
          <w:szCs w:val="24"/>
          <w:lang w:val="en-GB"/>
        </w:rPr>
        <w:t xml:space="preserve"> </w:t>
      </w:r>
      <w:r w:rsidRPr="00A17D9B">
        <w:rPr>
          <w:rFonts w:ascii="Garamond" w:hAnsi="Garamond"/>
          <w:noProof/>
          <w:sz w:val="24"/>
          <w:szCs w:val="24"/>
          <w:lang w:val="en-GB"/>
        </w:rPr>
        <w:t>a new one? What a</w:t>
      </w:r>
      <w:r w:rsidR="00E9662D" w:rsidRPr="00A17D9B">
        <w:rPr>
          <w:rFonts w:ascii="Garamond" w:hAnsi="Garamond"/>
          <w:noProof/>
          <w:sz w:val="24"/>
          <w:szCs w:val="24"/>
          <w:lang w:val="en-GB"/>
        </w:rPr>
        <w:t>re we really looking for in</w:t>
      </w:r>
      <w:r w:rsidRPr="00A17D9B">
        <w:rPr>
          <w:rFonts w:ascii="Garamond" w:hAnsi="Garamond"/>
          <w:noProof/>
          <w:sz w:val="24"/>
          <w:szCs w:val="24"/>
          <w:lang w:val="en-GB"/>
        </w:rPr>
        <w:t xml:space="preserve"> a common good indicator and what advantages can we expect</w:t>
      </w:r>
      <w:r w:rsidR="00157F8E" w:rsidRPr="00A17D9B">
        <w:rPr>
          <w:rFonts w:ascii="Garamond" w:hAnsi="Garamond"/>
          <w:noProof/>
          <w:sz w:val="24"/>
          <w:szCs w:val="24"/>
          <w:lang w:val="en-GB"/>
        </w:rPr>
        <w:t xml:space="preserve"> for the local population</w:t>
      </w:r>
      <w:r w:rsidRPr="00A17D9B">
        <w:rPr>
          <w:rFonts w:ascii="Garamond" w:hAnsi="Garamond"/>
          <w:noProof/>
          <w:sz w:val="24"/>
          <w:szCs w:val="24"/>
          <w:lang w:val="en-GB"/>
        </w:rPr>
        <w:t xml:space="preserve"> from such a pers</w:t>
      </w:r>
      <w:r w:rsidR="00157F8E" w:rsidRPr="00A17D9B">
        <w:rPr>
          <w:rFonts w:ascii="Garamond" w:hAnsi="Garamond"/>
          <w:noProof/>
          <w:sz w:val="24"/>
          <w:szCs w:val="24"/>
          <w:lang w:val="en-GB"/>
        </w:rPr>
        <w:t>pective</w:t>
      </w:r>
      <w:r w:rsidRPr="00A17D9B">
        <w:rPr>
          <w:rFonts w:ascii="Garamond" w:hAnsi="Garamond"/>
          <w:noProof/>
          <w:sz w:val="24"/>
          <w:szCs w:val="24"/>
          <w:lang w:val="en-GB"/>
        </w:rPr>
        <w:t>?</w:t>
      </w:r>
    </w:p>
    <w:p w14:paraId="1BB0C75F" w14:textId="55D2FA47" w:rsidR="000E5BA6" w:rsidRPr="00A17D9B" w:rsidRDefault="00920CD8" w:rsidP="00832FFA">
      <w:pPr>
        <w:jc w:val="both"/>
        <w:rPr>
          <w:rFonts w:ascii="Garamond" w:hAnsi="Garamond"/>
          <w:noProof/>
          <w:sz w:val="24"/>
          <w:szCs w:val="24"/>
          <w:lang w:val="en-GB"/>
        </w:rPr>
      </w:pPr>
      <w:r w:rsidRPr="00A17D9B">
        <w:rPr>
          <w:rFonts w:ascii="Garamond" w:hAnsi="Garamond"/>
          <w:noProof/>
          <w:sz w:val="24"/>
          <w:szCs w:val="24"/>
          <w:lang w:val="en-GB"/>
        </w:rPr>
        <w:t>First</w:t>
      </w:r>
      <w:r w:rsidR="00446B82" w:rsidRPr="00A17D9B">
        <w:rPr>
          <w:rFonts w:ascii="Garamond" w:hAnsi="Garamond"/>
          <w:noProof/>
          <w:sz w:val="24"/>
          <w:szCs w:val="24"/>
          <w:lang w:val="en-GB"/>
        </w:rPr>
        <w:t>,</w:t>
      </w:r>
      <w:r w:rsidRPr="00A17D9B">
        <w:rPr>
          <w:rFonts w:ascii="Garamond" w:hAnsi="Garamond"/>
          <w:noProof/>
          <w:sz w:val="24"/>
          <w:szCs w:val="24"/>
          <w:lang w:val="en-GB"/>
        </w:rPr>
        <w:t xml:space="preserve"> a word about the </w:t>
      </w:r>
      <w:r w:rsidR="000E5BA6" w:rsidRPr="00A17D9B">
        <w:rPr>
          <w:rFonts w:ascii="Garamond" w:hAnsi="Garamond"/>
          <w:noProof/>
          <w:sz w:val="24"/>
          <w:szCs w:val="24"/>
          <w:lang w:val="en-GB"/>
        </w:rPr>
        <w:t>common good. For centuries</w:t>
      </w:r>
      <w:r w:rsidR="00446B82" w:rsidRPr="00A17D9B">
        <w:rPr>
          <w:rFonts w:ascii="Garamond" w:hAnsi="Garamond"/>
          <w:noProof/>
          <w:sz w:val="24"/>
          <w:szCs w:val="24"/>
          <w:lang w:val="en-GB"/>
        </w:rPr>
        <w:t>,</w:t>
      </w:r>
      <w:r w:rsidR="000E5BA6" w:rsidRPr="00A17D9B">
        <w:rPr>
          <w:rFonts w:ascii="Garamond" w:hAnsi="Garamond"/>
          <w:noProof/>
          <w:sz w:val="24"/>
          <w:szCs w:val="24"/>
          <w:lang w:val="en-GB"/>
        </w:rPr>
        <w:t xml:space="preserve"> </w:t>
      </w:r>
      <w:r w:rsidR="006F0F23" w:rsidRPr="00A17D9B">
        <w:rPr>
          <w:rFonts w:ascii="Garamond" w:hAnsi="Garamond"/>
          <w:noProof/>
          <w:sz w:val="24"/>
          <w:szCs w:val="24"/>
          <w:lang w:val="en-GB"/>
        </w:rPr>
        <w:t xml:space="preserve">the concept served as </w:t>
      </w:r>
      <w:r w:rsidR="000E5BA6" w:rsidRPr="00A17D9B">
        <w:rPr>
          <w:rFonts w:ascii="Garamond" w:hAnsi="Garamond"/>
          <w:noProof/>
          <w:sz w:val="24"/>
          <w:szCs w:val="24"/>
          <w:lang w:val="en-GB"/>
        </w:rPr>
        <w:t>the main framework to understand social processes and shape policies</w:t>
      </w:r>
      <w:r w:rsidR="00ED0A69" w:rsidRPr="00A17D9B">
        <w:rPr>
          <w:rFonts w:ascii="Garamond" w:hAnsi="Garamond"/>
          <w:noProof/>
          <w:sz w:val="24"/>
          <w:szCs w:val="24"/>
          <w:lang w:val="en-GB"/>
        </w:rPr>
        <w:t xml:space="preserve"> (Hibst, 1991; Lecuppre-Desjardins &amp; Van Bruaene, 2010)</w:t>
      </w:r>
      <w:r w:rsidR="000E5BA6" w:rsidRPr="00A17D9B">
        <w:rPr>
          <w:rFonts w:ascii="Garamond" w:hAnsi="Garamond"/>
          <w:noProof/>
          <w:sz w:val="24"/>
          <w:szCs w:val="24"/>
          <w:lang w:val="en-GB"/>
        </w:rPr>
        <w:t>. As an architectonic concept</w:t>
      </w:r>
      <w:r w:rsidR="009D01B4" w:rsidRPr="00A17D9B">
        <w:rPr>
          <w:rFonts w:ascii="Garamond" w:hAnsi="Garamond"/>
          <w:noProof/>
          <w:sz w:val="24"/>
          <w:szCs w:val="24"/>
          <w:lang w:val="en-GB"/>
        </w:rPr>
        <w:t xml:space="preserve"> (Kempshall, 1998)</w:t>
      </w:r>
      <w:r w:rsidR="000E5BA6" w:rsidRPr="00A17D9B">
        <w:rPr>
          <w:rFonts w:ascii="Garamond" w:hAnsi="Garamond"/>
          <w:noProof/>
          <w:sz w:val="24"/>
          <w:szCs w:val="24"/>
          <w:lang w:val="en-GB"/>
        </w:rPr>
        <w:t>, the common good articulated the practice of government</w:t>
      </w:r>
      <w:r w:rsidRPr="00A17D9B">
        <w:rPr>
          <w:rFonts w:ascii="Garamond" w:hAnsi="Garamond"/>
          <w:noProof/>
          <w:sz w:val="24"/>
          <w:szCs w:val="24"/>
          <w:lang w:val="en-GB"/>
        </w:rPr>
        <w:t xml:space="preserve">, </w:t>
      </w:r>
      <w:r w:rsidR="000E5BA6" w:rsidRPr="00A17D9B">
        <w:rPr>
          <w:rFonts w:ascii="Garamond" w:hAnsi="Garamond"/>
          <w:noProof/>
          <w:sz w:val="24"/>
          <w:szCs w:val="24"/>
          <w:lang w:val="en-GB"/>
        </w:rPr>
        <w:t xml:space="preserve">law, taxes, guilds </w:t>
      </w:r>
      <w:r w:rsidR="006F0F23" w:rsidRPr="00A17D9B">
        <w:rPr>
          <w:rFonts w:ascii="Garamond" w:hAnsi="Garamond"/>
          <w:noProof/>
          <w:sz w:val="24"/>
          <w:szCs w:val="24"/>
          <w:lang w:val="en-GB"/>
        </w:rPr>
        <w:t>and free cities</w:t>
      </w:r>
      <w:r w:rsidR="00ED0A69" w:rsidRPr="00A17D9B">
        <w:rPr>
          <w:rFonts w:ascii="Garamond" w:hAnsi="Garamond"/>
          <w:noProof/>
          <w:sz w:val="24"/>
          <w:szCs w:val="24"/>
          <w:lang w:val="en-GB"/>
        </w:rPr>
        <w:t xml:space="preserve"> (Rigaudière, 2010</w:t>
      </w:r>
      <w:r w:rsidR="009D01B4" w:rsidRPr="00A17D9B">
        <w:rPr>
          <w:rFonts w:ascii="Garamond" w:hAnsi="Garamond"/>
          <w:noProof/>
          <w:sz w:val="24"/>
          <w:szCs w:val="24"/>
          <w:lang w:val="en-GB"/>
        </w:rPr>
        <w:t>; Sassier 2010</w:t>
      </w:r>
      <w:r w:rsidR="00ED0A69" w:rsidRPr="00A17D9B">
        <w:rPr>
          <w:rFonts w:ascii="Garamond" w:hAnsi="Garamond"/>
          <w:noProof/>
          <w:sz w:val="24"/>
          <w:szCs w:val="24"/>
          <w:lang w:val="en-GB"/>
        </w:rPr>
        <w:t>)</w:t>
      </w:r>
      <w:r w:rsidR="000E5BA6" w:rsidRPr="00A17D9B">
        <w:rPr>
          <w:rFonts w:ascii="Garamond" w:hAnsi="Garamond"/>
          <w:noProof/>
          <w:sz w:val="24"/>
          <w:szCs w:val="24"/>
          <w:lang w:val="en-GB"/>
        </w:rPr>
        <w:t xml:space="preserve">. The concept was not deemed theoretical but rather practical. It was a way to understand and govern the many ‘commons’ around which societies gathered. It was the emergence of the modern state coupled with the shift toward social contract theories that slowly eschewed the </w:t>
      </w:r>
      <w:r w:rsidR="000E5BA6" w:rsidRPr="00A17D9B">
        <w:rPr>
          <w:rFonts w:ascii="Garamond" w:hAnsi="Garamond"/>
          <w:noProof/>
          <w:sz w:val="24"/>
          <w:szCs w:val="24"/>
          <w:lang w:val="en-GB"/>
        </w:rPr>
        <w:lastRenderedPageBreak/>
        <w:t xml:space="preserve">concept to the sideline </w:t>
      </w:r>
      <w:r w:rsidR="006F0F23" w:rsidRPr="00A17D9B">
        <w:rPr>
          <w:rFonts w:ascii="Garamond" w:hAnsi="Garamond"/>
          <w:noProof/>
          <w:sz w:val="24"/>
          <w:szCs w:val="24"/>
          <w:lang w:val="en-GB"/>
        </w:rPr>
        <w:t>of modern thought</w:t>
      </w:r>
      <w:r w:rsidR="00ED0A69" w:rsidRPr="00A17D9B">
        <w:rPr>
          <w:rFonts w:ascii="Garamond" w:hAnsi="Garamond"/>
          <w:noProof/>
          <w:sz w:val="24"/>
          <w:szCs w:val="24"/>
          <w:lang w:val="en-GB"/>
        </w:rPr>
        <w:t xml:space="preserve"> (</w:t>
      </w:r>
      <w:r w:rsidR="009D01B4" w:rsidRPr="00A17D9B">
        <w:rPr>
          <w:rFonts w:ascii="Garamond" w:hAnsi="Garamond"/>
          <w:noProof/>
          <w:sz w:val="24"/>
          <w:szCs w:val="24"/>
          <w:lang w:val="en-GB"/>
        </w:rPr>
        <w:t>Zamagni &amp; Bruni, 2007</w:t>
      </w:r>
      <w:r w:rsidR="00ED0A69" w:rsidRPr="00A17D9B">
        <w:rPr>
          <w:rFonts w:ascii="Garamond" w:hAnsi="Garamond"/>
          <w:noProof/>
          <w:sz w:val="24"/>
          <w:szCs w:val="24"/>
          <w:lang w:val="en-GB"/>
        </w:rPr>
        <w:t>)</w:t>
      </w:r>
      <w:r w:rsidR="000E5BA6" w:rsidRPr="00A17D9B">
        <w:rPr>
          <w:rFonts w:ascii="Garamond" w:hAnsi="Garamond"/>
          <w:noProof/>
          <w:sz w:val="24"/>
          <w:szCs w:val="24"/>
          <w:lang w:val="en-GB"/>
        </w:rPr>
        <w:t>. So much so that today the very concept of the common good appears</w:t>
      </w:r>
      <w:r w:rsidR="00446B82" w:rsidRPr="00A17D9B">
        <w:rPr>
          <w:rFonts w:ascii="Garamond" w:hAnsi="Garamond"/>
          <w:noProof/>
          <w:sz w:val="24"/>
          <w:szCs w:val="24"/>
          <w:lang w:val="en-GB"/>
        </w:rPr>
        <w:t xml:space="preserve"> ambiguous to most people</w:t>
      </w:r>
      <w:r w:rsidR="000E5BA6" w:rsidRPr="00A17D9B">
        <w:rPr>
          <w:rFonts w:ascii="Garamond" w:hAnsi="Garamond"/>
          <w:noProof/>
          <w:sz w:val="24"/>
          <w:szCs w:val="24"/>
          <w:lang w:val="en-GB"/>
        </w:rPr>
        <w:t>; definitively not something that would help us toward</w:t>
      </w:r>
      <w:r w:rsidR="00446B82" w:rsidRPr="00A17D9B">
        <w:rPr>
          <w:rFonts w:ascii="Garamond" w:hAnsi="Garamond"/>
          <w:noProof/>
          <w:sz w:val="24"/>
          <w:szCs w:val="24"/>
          <w:lang w:val="en-GB"/>
        </w:rPr>
        <w:t>s</w:t>
      </w:r>
      <w:r w:rsidR="000E5BA6" w:rsidRPr="00A17D9B">
        <w:rPr>
          <w:rFonts w:ascii="Garamond" w:hAnsi="Garamond"/>
          <w:noProof/>
          <w:sz w:val="24"/>
          <w:szCs w:val="24"/>
          <w:lang w:val="en-GB"/>
        </w:rPr>
        <w:t xml:space="preserve"> a more efficient practice of development</w:t>
      </w:r>
      <w:r w:rsidR="009D01B4" w:rsidRPr="00A17D9B">
        <w:rPr>
          <w:rFonts w:ascii="Garamond" w:hAnsi="Garamond"/>
          <w:noProof/>
          <w:sz w:val="24"/>
          <w:szCs w:val="24"/>
          <w:lang w:val="en-GB"/>
        </w:rPr>
        <w:t xml:space="preserve"> (Hollenbach, 2002, 3-31)</w:t>
      </w:r>
      <w:r w:rsidR="00446B82" w:rsidRPr="00A17D9B">
        <w:rPr>
          <w:rFonts w:ascii="Garamond" w:hAnsi="Garamond"/>
          <w:noProof/>
          <w:sz w:val="24"/>
          <w:szCs w:val="24"/>
          <w:lang w:val="en-GB"/>
        </w:rPr>
        <w:t xml:space="preserve">. It is this </w:t>
      </w:r>
      <w:r w:rsidR="008E7DA9" w:rsidRPr="00A17D9B">
        <w:rPr>
          <w:rFonts w:ascii="Garamond" w:hAnsi="Garamond"/>
          <w:noProof/>
          <w:sz w:val="24"/>
          <w:szCs w:val="24"/>
          <w:lang w:val="en-GB"/>
        </w:rPr>
        <w:t>vision</w:t>
      </w:r>
      <w:r w:rsidR="00446B82" w:rsidRPr="00A17D9B">
        <w:rPr>
          <w:rFonts w:ascii="Garamond" w:hAnsi="Garamond"/>
          <w:noProof/>
          <w:sz w:val="24"/>
          <w:szCs w:val="24"/>
          <w:lang w:val="en-GB"/>
        </w:rPr>
        <w:t xml:space="preserve"> that the</w:t>
      </w:r>
      <w:r w:rsidR="000E5BA6" w:rsidRPr="00A17D9B">
        <w:rPr>
          <w:rFonts w:ascii="Garamond" w:hAnsi="Garamond"/>
          <w:noProof/>
          <w:sz w:val="24"/>
          <w:szCs w:val="24"/>
          <w:lang w:val="en-GB"/>
        </w:rPr>
        <w:t xml:space="preserve"> article </w:t>
      </w:r>
      <w:r w:rsidR="008E7DA9" w:rsidRPr="00A17D9B">
        <w:rPr>
          <w:rFonts w:ascii="Garamond" w:hAnsi="Garamond"/>
          <w:noProof/>
          <w:sz w:val="24"/>
          <w:szCs w:val="24"/>
          <w:lang w:val="en-GB"/>
        </w:rPr>
        <w:t>is challenging</w:t>
      </w:r>
      <w:r w:rsidR="000E5BA6" w:rsidRPr="00A17D9B">
        <w:rPr>
          <w:rFonts w:ascii="Garamond" w:hAnsi="Garamond"/>
          <w:noProof/>
          <w:sz w:val="24"/>
          <w:szCs w:val="24"/>
          <w:lang w:val="en-GB"/>
        </w:rPr>
        <w:t xml:space="preserve">. It focuses on the </w:t>
      </w:r>
      <w:r w:rsidR="000E5BA6" w:rsidRPr="00A17D9B">
        <w:rPr>
          <w:rFonts w:ascii="Garamond" w:hAnsi="Garamond"/>
          <w:i/>
          <w:noProof/>
          <w:sz w:val="24"/>
          <w:szCs w:val="24"/>
          <w:lang w:val="en-GB"/>
        </w:rPr>
        <w:t>practical relevance</w:t>
      </w:r>
      <w:r w:rsidR="000E5BA6" w:rsidRPr="00A17D9B">
        <w:rPr>
          <w:rFonts w:ascii="Garamond" w:hAnsi="Garamond"/>
          <w:noProof/>
          <w:sz w:val="24"/>
          <w:szCs w:val="24"/>
          <w:lang w:val="en-GB"/>
        </w:rPr>
        <w:t xml:space="preserve"> of a ‘common good perspective on development issues’</w:t>
      </w:r>
      <w:r w:rsidR="008E7DA9" w:rsidRPr="00A17D9B">
        <w:rPr>
          <w:rFonts w:ascii="Garamond" w:hAnsi="Garamond"/>
          <w:noProof/>
          <w:sz w:val="24"/>
          <w:szCs w:val="24"/>
          <w:lang w:val="en-GB"/>
        </w:rPr>
        <w:t xml:space="preserve"> in order to </w:t>
      </w:r>
      <w:r w:rsidR="000E5BA6" w:rsidRPr="00A17D9B">
        <w:rPr>
          <w:rFonts w:ascii="Garamond" w:hAnsi="Garamond"/>
          <w:noProof/>
          <w:sz w:val="24"/>
          <w:szCs w:val="24"/>
          <w:lang w:val="en-GB"/>
        </w:rPr>
        <w:t>see if it can give us an edge in policy making and governance</w:t>
      </w:r>
      <w:r w:rsidR="006F0F23" w:rsidRPr="00A17D9B">
        <w:rPr>
          <w:rFonts w:ascii="Garamond" w:hAnsi="Garamond"/>
          <w:noProof/>
          <w:sz w:val="24"/>
          <w:szCs w:val="24"/>
          <w:lang w:val="en-GB"/>
        </w:rPr>
        <w:t xml:space="preserve"> at </w:t>
      </w:r>
      <w:r w:rsidR="008E7DA9" w:rsidRPr="00A17D9B">
        <w:rPr>
          <w:rFonts w:ascii="Garamond" w:hAnsi="Garamond"/>
          <w:noProof/>
          <w:sz w:val="24"/>
          <w:szCs w:val="24"/>
          <w:lang w:val="en-GB"/>
        </w:rPr>
        <w:t>group and community</w:t>
      </w:r>
      <w:r w:rsidR="006F0F23" w:rsidRPr="00A17D9B">
        <w:rPr>
          <w:rFonts w:ascii="Garamond" w:hAnsi="Garamond"/>
          <w:noProof/>
          <w:sz w:val="24"/>
          <w:szCs w:val="24"/>
          <w:lang w:val="en-GB"/>
        </w:rPr>
        <w:t xml:space="preserve"> level</w:t>
      </w:r>
      <w:r w:rsidR="000E5BA6" w:rsidRPr="00A17D9B">
        <w:rPr>
          <w:rFonts w:ascii="Garamond" w:hAnsi="Garamond"/>
          <w:noProof/>
          <w:sz w:val="24"/>
          <w:szCs w:val="24"/>
          <w:lang w:val="en-GB"/>
        </w:rPr>
        <w:t xml:space="preserve">. </w:t>
      </w:r>
    </w:p>
    <w:p w14:paraId="0D43EE47" w14:textId="54CE904E" w:rsidR="006F0F23" w:rsidRPr="00A17D9B" w:rsidRDefault="006F0F23" w:rsidP="00832FFA">
      <w:pPr>
        <w:jc w:val="both"/>
        <w:rPr>
          <w:rFonts w:ascii="Garamond" w:hAnsi="Garamond"/>
          <w:noProof/>
          <w:sz w:val="24"/>
          <w:szCs w:val="24"/>
          <w:lang w:val="en-GB"/>
        </w:rPr>
      </w:pPr>
      <w:r w:rsidRPr="00A17D9B">
        <w:rPr>
          <w:rFonts w:ascii="Garamond" w:hAnsi="Garamond"/>
          <w:noProof/>
          <w:sz w:val="24"/>
          <w:szCs w:val="24"/>
          <w:lang w:val="en-GB"/>
        </w:rPr>
        <w:t>To do so</w:t>
      </w:r>
      <w:r w:rsidR="00437C1A" w:rsidRPr="00A17D9B">
        <w:rPr>
          <w:rFonts w:ascii="Garamond" w:hAnsi="Garamond"/>
          <w:noProof/>
          <w:sz w:val="24"/>
          <w:szCs w:val="24"/>
          <w:lang w:val="en-GB"/>
        </w:rPr>
        <w:t>,</w:t>
      </w:r>
      <w:r w:rsidRPr="00A17D9B">
        <w:rPr>
          <w:rFonts w:ascii="Garamond" w:hAnsi="Garamond"/>
          <w:noProof/>
          <w:sz w:val="24"/>
          <w:szCs w:val="24"/>
          <w:lang w:val="en-GB"/>
        </w:rPr>
        <w:t xml:space="preserve"> we </w:t>
      </w:r>
      <w:r w:rsidR="00437C1A" w:rsidRPr="00A17D9B">
        <w:rPr>
          <w:rFonts w:ascii="Garamond" w:hAnsi="Garamond"/>
          <w:noProof/>
          <w:sz w:val="24"/>
          <w:szCs w:val="24"/>
          <w:lang w:val="en-GB"/>
        </w:rPr>
        <w:t xml:space="preserve">first </w:t>
      </w:r>
      <w:r w:rsidRPr="00A17D9B">
        <w:rPr>
          <w:rFonts w:ascii="Garamond" w:hAnsi="Garamond"/>
          <w:noProof/>
          <w:sz w:val="24"/>
          <w:szCs w:val="24"/>
          <w:lang w:val="en-GB"/>
        </w:rPr>
        <w:t>elaborate</w:t>
      </w:r>
      <w:r w:rsidR="00BA0BAF" w:rsidRPr="00A17D9B">
        <w:rPr>
          <w:rFonts w:ascii="Garamond" w:hAnsi="Garamond"/>
          <w:noProof/>
          <w:sz w:val="24"/>
          <w:szCs w:val="24"/>
          <w:lang w:val="en-GB"/>
        </w:rPr>
        <w:t>d</w:t>
      </w:r>
      <w:r w:rsidRPr="00A17D9B">
        <w:rPr>
          <w:rFonts w:ascii="Garamond" w:hAnsi="Garamond"/>
          <w:noProof/>
          <w:sz w:val="24"/>
          <w:szCs w:val="24"/>
          <w:lang w:val="en-GB"/>
        </w:rPr>
        <w:t xml:space="preserve"> a matrix then a metric of common good dynamics that we then applied to several municipalities. This article present</w:t>
      </w:r>
      <w:r w:rsidR="00BA0BAF" w:rsidRPr="00A17D9B">
        <w:rPr>
          <w:rFonts w:ascii="Garamond" w:hAnsi="Garamond"/>
          <w:noProof/>
          <w:sz w:val="24"/>
          <w:szCs w:val="24"/>
          <w:lang w:val="en-GB"/>
        </w:rPr>
        <w:t>s</w:t>
      </w:r>
      <w:r w:rsidRPr="00A17D9B">
        <w:rPr>
          <w:rFonts w:ascii="Garamond" w:hAnsi="Garamond"/>
          <w:noProof/>
          <w:sz w:val="24"/>
          <w:szCs w:val="24"/>
          <w:lang w:val="en-GB"/>
        </w:rPr>
        <w:t xml:space="preserve"> the </w:t>
      </w:r>
      <w:r w:rsidR="00BA0BAF" w:rsidRPr="00A17D9B">
        <w:rPr>
          <w:rFonts w:ascii="Garamond" w:hAnsi="Garamond"/>
          <w:noProof/>
          <w:sz w:val="24"/>
          <w:szCs w:val="24"/>
          <w:lang w:val="en-GB"/>
        </w:rPr>
        <w:t>matrix (</w:t>
      </w:r>
      <w:r w:rsidR="009D01B4" w:rsidRPr="00A17D9B">
        <w:rPr>
          <w:rFonts w:ascii="Garamond" w:hAnsi="Garamond"/>
          <w:noProof/>
          <w:sz w:val="24"/>
          <w:szCs w:val="24"/>
          <w:lang w:val="en-GB"/>
        </w:rPr>
        <w:t>first point</w:t>
      </w:r>
      <w:r w:rsidR="00BA0BAF" w:rsidRPr="00A17D9B">
        <w:rPr>
          <w:rFonts w:ascii="Garamond" w:hAnsi="Garamond"/>
          <w:noProof/>
          <w:sz w:val="24"/>
          <w:szCs w:val="24"/>
          <w:lang w:val="en-GB"/>
        </w:rPr>
        <w:t>) as well as the metric (</w:t>
      </w:r>
      <w:r w:rsidR="009D01B4" w:rsidRPr="00A17D9B">
        <w:rPr>
          <w:rFonts w:ascii="Garamond" w:hAnsi="Garamond"/>
          <w:noProof/>
          <w:sz w:val="24"/>
          <w:szCs w:val="24"/>
          <w:lang w:val="en-GB"/>
        </w:rPr>
        <w:t>second point</w:t>
      </w:r>
      <w:r w:rsidR="00BA0BAF" w:rsidRPr="00A17D9B">
        <w:rPr>
          <w:rFonts w:ascii="Garamond" w:hAnsi="Garamond"/>
          <w:noProof/>
          <w:sz w:val="24"/>
          <w:szCs w:val="24"/>
          <w:lang w:val="en-GB"/>
        </w:rPr>
        <w:t>) and introduces the way we read our results (</w:t>
      </w:r>
      <w:r w:rsidR="009D01B4" w:rsidRPr="00A17D9B">
        <w:rPr>
          <w:rFonts w:ascii="Garamond" w:hAnsi="Garamond"/>
          <w:noProof/>
          <w:sz w:val="24"/>
          <w:szCs w:val="24"/>
          <w:lang w:val="en-GB"/>
        </w:rPr>
        <w:t>third point</w:t>
      </w:r>
      <w:r w:rsidR="00BA0BAF" w:rsidRPr="00A17D9B">
        <w:rPr>
          <w:rFonts w:ascii="Garamond" w:hAnsi="Garamond"/>
          <w:noProof/>
          <w:sz w:val="24"/>
          <w:szCs w:val="24"/>
          <w:lang w:val="en-GB"/>
        </w:rPr>
        <w:t xml:space="preserve">). It then shows, on the </w:t>
      </w:r>
      <w:r w:rsidR="009D01B4" w:rsidRPr="00A17D9B">
        <w:rPr>
          <w:rFonts w:ascii="Garamond" w:hAnsi="Garamond"/>
          <w:noProof/>
          <w:sz w:val="24"/>
          <w:szCs w:val="24"/>
          <w:lang w:val="en-GB"/>
        </w:rPr>
        <w:t xml:space="preserve">ground </w:t>
      </w:r>
      <w:r w:rsidR="00BA0BAF" w:rsidRPr="00A17D9B">
        <w:rPr>
          <w:rFonts w:ascii="Garamond" w:hAnsi="Garamond"/>
          <w:noProof/>
          <w:sz w:val="24"/>
          <w:szCs w:val="24"/>
          <w:lang w:val="en-GB"/>
        </w:rPr>
        <w:t>of the pilot probe</w:t>
      </w:r>
      <w:r w:rsidR="009D01B4" w:rsidRPr="00A17D9B">
        <w:rPr>
          <w:rFonts w:ascii="Garamond" w:hAnsi="Garamond"/>
          <w:noProof/>
          <w:sz w:val="24"/>
          <w:szCs w:val="24"/>
          <w:lang w:val="en-GB"/>
        </w:rPr>
        <w:t xml:space="preserve"> in Ocotepec</w:t>
      </w:r>
      <w:r w:rsidR="00BA0BAF" w:rsidRPr="00A17D9B">
        <w:rPr>
          <w:rFonts w:ascii="Garamond" w:hAnsi="Garamond"/>
          <w:noProof/>
          <w:sz w:val="24"/>
          <w:szCs w:val="24"/>
          <w:lang w:val="en-GB"/>
        </w:rPr>
        <w:t>, what kind of information can be gathered from such an approach (</w:t>
      </w:r>
      <w:r w:rsidR="009D01B4" w:rsidRPr="00A17D9B">
        <w:rPr>
          <w:rFonts w:ascii="Garamond" w:hAnsi="Garamond"/>
          <w:noProof/>
          <w:sz w:val="24"/>
          <w:szCs w:val="24"/>
          <w:lang w:val="en-GB"/>
        </w:rPr>
        <w:t>fourth point</w:t>
      </w:r>
      <w:r w:rsidR="00BA0BAF" w:rsidRPr="00A17D9B">
        <w:rPr>
          <w:rFonts w:ascii="Garamond" w:hAnsi="Garamond"/>
          <w:noProof/>
          <w:sz w:val="24"/>
          <w:szCs w:val="24"/>
          <w:lang w:val="en-GB"/>
        </w:rPr>
        <w:t>). Other articles in this special issue will then revise the statistical validity of the model and present the results of two further application</w:t>
      </w:r>
      <w:r w:rsidR="009D01B4" w:rsidRPr="00A17D9B">
        <w:rPr>
          <w:rFonts w:ascii="Garamond" w:hAnsi="Garamond"/>
          <w:noProof/>
          <w:sz w:val="24"/>
          <w:szCs w:val="24"/>
          <w:lang w:val="en-GB"/>
        </w:rPr>
        <w:t>s</w:t>
      </w:r>
      <w:r w:rsidR="00BA0BAF" w:rsidRPr="00A17D9B">
        <w:rPr>
          <w:rFonts w:ascii="Garamond" w:hAnsi="Garamond"/>
          <w:noProof/>
          <w:sz w:val="24"/>
          <w:szCs w:val="24"/>
          <w:lang w:val="en-GB"/>
        </w:rPr>
        <w:t xml:space="preserve"> of the metric. </w:t>
      </w:r>
    </w:p>
    <w:p w14:paraId="48D8B107" w14:textId="788592C9" w:rsidR="003A0863" w:rsidRPr="00A17D9B" w:rsidRDefault="009D01B4" w:rsidP="007623CF">
      <w:pPr>
        <w:pStyle w:val="Subttulo"/>
        <w:jc w:val="right"/>
        <w:rPr>
          <w:noProof/>
          <w:lang w:val="en-GB"/>
        </w:rPr>
      </w:pPr>
      <w:r w:rsidRPr="00A17D9B">
        <w:rPr>
          <w:noProof/>
          <w:lang w:val="en-GB"/>
        </w:rPr>
        <w:t xml:space="preserve">History </w:t>
      </w:r>
      <w:r w:rsidR="00437C1A" w:rsidRPr="00A17D9B">
        <w:rPr>
          <w:noProof/>
          <w:lang w:val="en-GB"/>
        </w:rPr>
        <w:t>of the P</w:t>
      </w:r>
      <w:r w:rsidR="003A0863" w:rsidRPr="00A17D9B">
        <w:rPr>
          <w:noProof/>
          <w:lang w:val="en-GB"/>
        </w:rPr>
        <w:t xml:space="preserve">roject </w:t>
      </w:r>
    </w:p>
    <w:p w14:paraId="7FD98B87" w14:textId="133FD926" w:rsidR="00BD1377" w:rsidRPr="00A17D9B" w:rsidRDefault="009D01B4" w:rsidP="00832FFA">
      <w:pPr>
        <w:jc w:val="both"/>
        <w:rPr>
          <w:rFonts w:ascii="Garamond" w:hAnsi="Garamond"/>
          <w:noProof/>
          <w:sz w:val="24"/>
          <w:szCs w:val="24"/>
          <w:lang w:val="en-GB"/>
        </w:rPr>
      </w:pPr>
      <w:r w:rsidRPr="00A17D9B">
        <w:rPr>
          <w:rFonts w:ascii="Garamond" w:hAnsi="Garamond"/>
          <w:noProof/>
          <w:sz w:val="24"/>
          <w:szCs w:val="24"/>
          <w:lang w:val="en-GB"/>
        </w:rPr>
        <w:t>Our</w:t>
      </w:r>
      <w:r w:rsidR="00236D2C" w:rsidRPr="00A17D9B">
        <w:rPr>
          <w:rFonts w:ascii="Garamond" w:hAnsi="Garamond"/>
          <w:noProof/>
          <w:sz w:val="24"/>
          <w:szCs w:val="24"/>
          <w:lang w:val="en-GB"/>
        </w:rPr>
        <w:t xml:space="preserve"> metric of common good dynamics </w:t>
      </w:r>
      <w:r w:rsidR="000E5BA6" w:rsidRPr="00A17D9B">
        <w:rPr>
          <w:rFonts w:ascii="Garamond" w:hAnsi="Garamond"/>
          <w:noProof/>
          <w:sz w:val="24"/>
          <w:szCs w:val="24"/>
          <w:lang w:val="en-GB"/>
        </w:rPr>
        <w:t>is the result of a research project that has spanned</w:t>
      </w:r>
      <w:r w:rsidR="00437C1A" w:rsidRPr="00A17D9B">
        <w:rPr>
          <w:rFonts w:ascii="Garamond" w:hAnsi="Garamond"/>
          <w:noProof/>
          <w:sz w:val="24"/>
          <w:szCs w:val="24"/>
          <w:lang w:val="en-GB"/>
        </w:rPr>
        <w:t xml:space="preserve"> for</w:t>
      </w:r>
      <w:r w:rsidR="00BC5BCB" w:rsidRPr="00A17D9B">
        <w:rPr>
          <w:rFonts w:ascii="Garamond" w:hAnsi="Garamond"/>
          <w:noProof/>
          <w:sz w:val="24"/>
          <w:szCs w:val="24"/>
          <w:lang w:val="en-GB"/>
        </w:rPr>
        <w:t xml:space="preserve"> over three years </w:t>
      </w:r>
      <w:r w:rsidR="000E5BA6" w:rsidRPr="00A17D9B">
        <w:rPr>
          <w:rFonts w:ascii="Garamond" w:hAnsi="Garamond"/>
          <w:noProof/>
          <w:sz w:val="24"/>
          <w:szCs w:val="24"/>
          <w:lang w:val="en-GB"/>
        </w:rPr>
        <w:t>gathered</w:t>
      </w:r>
      <w:r w:rsidR="00BC5BCB" w:rsidRPr="00A17D9B">
        <w:rPr>
          <w:rFonts w:ascii="Garamond" w:hAnsi="Garamond"/>
          <w:noProof/>
          <w:sz w:val="24"/>
          <w:szCs w:val="24"/>
          <w:lang w:val="en-GB"/>
        </w:rPr>
        <w:t xml:space="preserve"> by</w:t>
      </w:r>
      <w:r w:rsidR="000E5BA6" w:rsidRPr="00A17D9B">
        <w:rPr>
          <w:rFonts w:ascii="Garamond" w:hAnsi="Garamond"/>
          <w:noProof/>
          <w:sz w:val="24"/>
          <w:szCs w:val="24"/>
          <w:lang w:val="en-GB"/>
        </w:rPr>
        <w:t xml:space="preserve"> a group of local and international researchers. </w:t>
      </w:r>
      <w:r w:rsidR="00236D2C" w:rsidRPr="00A17D9B">
        <w:rPr>
          <w:rFonts w:ascii="Garamond" w:hAnsi="Garamond"/>
          <w:noProof/>
          <w:sz w:val="24"/>
          <w:szCs w:val="24"/>
          <w:lang w:val="en-GB"/>
        </w:rPr>
        <w:t xml:space="preserve">It was headed by </w:t>
      </w:r>
      <w:r w:rsidR="000E5BA6" w:rsidRPr="00A17D9B">
        <w:rPr>
          <w:rFonts w:ascii="Garamond" w:hAnsi="Garamond"/>
          <w:noProof/>
          <w:sz w:val="24"/>
          <w:szCs w:val="24"/>
          <w:lang w:val="en-GB"/>
        </w:rPr>
        <w:t xml:space="preserve">the </w:t>
      </w:r>
      <w:r w:rsidR="000E5BA6" w:rsidRPr="00A17D9B">
        <w:rPr>
          <w:rFonts w:ascii="Garamond" w:hAnsi="Garamond"/>
          <w:i/>
          <w:noProof/>
          <w:sz w:val="24"/>
          <w:szCs w:val="24"/>
          <w:lang w:val="en-GB"/>
        </w:rPr>
        <w:t xml:space="preserve">Instituto Promotor del Bien Común </w:t>
      </w:r>
      <w:r w:rsidR="000E5BA6" w:rsidRPr="00A17D9B">
        <w:rPr>
          <w:rFonts w:ascii="Garamond" w:hAnsi="Garamond"/>
          <w:iCs/>
          <w:noProof/>
          <w:sz w:val="24"/>
          <w:szCs w:val="24"/>
          <w:lang w:val="en-GB"/>
        </w:rPr>
        <w:t>(IPBC)</w:t>
      </w:r>
      <w:r w:rsidR="000E5BA6" w:rsidRPr="00A17D9B">
        <w:rPr>
          <w:rFonts w:ascii="Garamond" w:hAnsi="Garamond"/>
          <w:noProof/>
          <w:sz w:val="24"/>
          <w:szCs w:val="24"/>
          <w:lang w:val="en-GB"/>
        </w:rPr>
        <w:t xml:space="preserve"> </w:t>
      </w:r>
      <w:r w:rsidR="00236D2C" w:rsidRPr="00A17D9B">
        <w:rPr>
          <w:rFonts w:ascii="Garamond" w:hAnsi="Garamond"/>
          <w:noProof/>
          <w:sz w:val="24"/>
          <w:szCs w:val="24"/>
          <w:lang w:val="en-GB"/>
        </w:rPr>
        <w:t xml:space="preserve">located at the </w:t>
      </w:r>
      <w:r w:rsidR="000E5BA6" w:rsidRPr="00A17D9B">
        <w:rPr>
          <w:rFonts w:ascii="Garamond" w:hAnsi="Garamond"/>
          <w:i/>
          <w:noProof/>
          <w:sz w:val="24"/>
          <w:szCs w:val="24"/>
          <w:lang w:val="en-GB"/>
        </w:rPr>
        <w:t>Universidad Popular Autónoma del Estado de Puebla (UPAEP)</w:t>
      </w:r>
      <w:r w:rsidR="000E5BA6" w:rsidRPr="00A17D9B">
        <w:rPr>
          <w:rFonts w:ascii="Garamond" w:hAnsi="Garamond"/>
          <w:noProof/>
          <w:sz w:val="24"/>
          <w:szCs w:val="24"/>
          <w:lang w:val="en-GB"/>
        </w:rPr>
        <w:t xml:space="preserve">. </w:t>
      </w:r>
      <w:r w:rsidR="00BD1377" w:rsidRPr="00A17D9B">
        <w:rPr>
          <w:rFonts w:ascii="Garamond" w:hAnsi="Garamond"/>
          <w:noProof/>
          <w:sz w:val="24"/>
          <w:szCs w:val="24"/>
          <w:lang w:val="en-GB"/>
        </w:rPr>
        <w:t xml:space="preserve">The goal of the project </w:t>
      </w:r>
      <w:r w:rsidR="000E5BA6" w:rsidRPr="00A17D9B">
        <w:rPr>
          <w:rFonts w:ascii="Garamond" w:hAnsi="Garamond"/>
          <w:noProof/>
          <w:sz w:val="24"/>
          <w:szCs w:val="24"/>
          <w:lang w:val="en-GB"/>
        </w:rPr>
        <w:t xml:space="preserve">was to devolve </w:t>
      </w:r>
      <w:r w:rsidR="00BD1377" w:rsidRPr="00A17D9B">
        <w:rPr>
          <w:rFonts w:ascii="Garamond" w:hAnsi="Garamond"/>
          <w:noProof/>
          <w:sz w:val="24"/>
          <w:szCs w:val="24"/>
          <w:lang w:val="en-GB"/>
        </w:rPr>
        <w:t>operationality</w:t>
      </w:r>
      <w:r w:rsidR="000E5BA6" w:rsidRPr="00A17D9B">
        <w:rPr>
          <w:rFonts w:ascii="Garamond" w:hAnsi="Garamond"/>
          <w:noProof/>
          <w:sz w:val="24"/>
          <w:szCs w:val="24"/>
          <w:lang w:val="en-GB"/>
        </w:rPr>
        <w:t xml:space="preserve"> to a notion usually confined to rhetoric and wishful thinking. The first challenge was obviously to</w:t>
      </w:r>
      <w:r w:rsidR="00BC5BCB" w:rsidRPr="00A17D9B">
        <w:rPr>
          <w:rFonts w:ascii="Garamond" w:hAnsi="Garamond"/>
          <w:noProof/>
          <w:sz w:val="24"/>
          <w:szCs w:val="24"/>
          <w:lang w:val="en-GB"/>
        </w:rPr>
        <w:t xml:space="preserve"> come up with a clear notion</w:t>
      </w:r>
      <w:r w:rsidR="000E5BA6" w:rsidRPr="00A17D9B">
        <w:rPr>
          <w:rFonts w:ascii="Garamond" w:hAnsi="Garamond"/>
          <w:noProof/>
          <w:sz w:val="24"/>
          <w:szCs w:val="24"/>
          <w:lang w:val="en-GB"/>
        </w:rPr>
        <w:t xml:space="preserve"> of the comm</w:t>
      </w:r>
      <w:r w:rsidR="00BC5BCB" w:rsidRPr="00A17D9B">
        <w:rPr>
          <w:rFonts w:ascii="Garamond" w:hAnsi="Garamond"/>
          <w:noProof/>
          <w:sz w:val="24"/>
          <w:szCs w:val="24"/>
          <w:lang w:val="en-GB"/>
        </w:rPr>
        <w:t xml:space="preserve">on good </w:t>
      </w:r>
      <w:r w:rsidR="000E5BA6" w:rsidRPr="00A17D9B">
        <w:rPr>
          <w:rFonts w:ascii="Garamond" w:hAnsi="Garamond"/>
          <w:noProof/>
          <w:sz w:val="24"/>
          <w:szCs w:val="24"/>
          <w:lang w:val="en-GB"/>
        </w:rPr>
        <w:t>that might then lead</w:t>
      </w:r>
      <w:r w:rsidRPr="00A17D9B">
        <w:rPr>
          <w:rFonts w:ascii="Garamond" w:hAnsi="Garamond"/>
          <w:noProof/>
          <w:sz w:val="24"/>
          <w:szCs w:val="24"/>
          <w:lang w:val="en-GB"/>
        </w:rPr>
        <w:t>s</w:t>
      </w:r>
      <w:r w:rsidR="000E5BA6" w:rsidRPr="00A17D9B">
        <w:rPr>
          <w:rFonts w:ascii="Garamond" w:hAnsi="Garamond"/>
          <w:noProof/>
          <w:sz w:val="24"/>
          <w:szCs w:val="24"/>
          <w:lang w:val="en-GB"/>
        </w:rPr>
        <w:t xml:space="preserve"> us towards an understanding of the key element</w:t>
      </w:r>
      <w:r w:rsidRPr="00A17D9B">
        <w:rPr>
          <w:rFonts w:ascii="Garamond" w:hAnsi="Garamond"/>
          <w:noProof/>
          <w:sz w:val="24"/>
          <w:szCs w:val="24"/>
          <w:lang w:val="en-GB"/>
        </w:rPr>
        <w:t>s</w:t>
      </w:r>
      <w:r w:rsidR="000E5BA6" w:rsidRPr="00A17D9B">
        <w:rPr>
          <w:rFonts w:ascii="Garamond" w:hAnsi="Garamond"/>
          <w:noProof/>
          <w:sz w:val="24"/>
          <w:szCs w:val="24"/>
          <w:lang w:val="en-GB"/>
        </w:rPr>
        <w:t xml:space="preserve"> needed to trigger common good dynamics. Indeed, more than focussing on outputs and results, we thought that we should focus on social processes, that is</w:t>
      </w:r>
      <w:r w:rsidR="00BC5BCB" w:rsidRPr="00A17D9B">
        <w:rPr>
          <w:rFonts w:ascii="Garamond" w:hAnsi="Garamond"/>
          <w:noProof/>
          <w:sz w:val="24"/>
          <w:szCs w:val="24"/>
          <w:lang w:val="en-GB"/>
        </w:rPr>
        <w:t>,</w:t>
      </w:r>
      <w:r w:rsidR="000E5BA6" w:rsidRPr="00A17D9B">
        <w:rPr>
          <w:rFonts w:ascii="Garamond" w:hAnsi="Garamond"/>
          <w:noProof/>
          <w:sz w:val="24"/>
          <w:szCs w:val="24"/>
          <w:lang w:val="en-GB"/>
        </w:rPr>
        <w:t xml:space="preserve"> on the way different common goods bui</w:t>
      </w:r>
      <w:r w:rsidR="00BC5BCB" w:rsidRPr="00A17D9B">
        <w:rPr>
          <w:rFonts w:ascii="Garamond" w:hAnsi="Garamond"/>
          <w:noProof/>
          <w:sz w:val="24"/>
          <w:szCs w:val="24"/>
          <w:lang w:val="en-GB"/>
        </w:rPr>
        <w:t>ld up in a society to form a network</w:t>
      </w:r>
      <w:r w:rsidR="000E5BA6" w:rsidRPr="00A17D9B">
        <w:rPr>
          <w:rFonts w:ascii="Garamond" w:hAnsi="Garamond"/>
          <w:noProof/>
          <w:sz w:val="24"/>
          <w:szCs w:val="24"/>
          <w:lang w:val="en-GB"/>
        </w:rPr>
        <w:t xml:space="preserve"> of</w:t>
      </w:r>
      <w:r w:rsidR="00BC5BCB" w:rsidRPr="00A17D9B">
        <w:rPr>
          <w:rFonts w:ascii="Garamond" w:hAnsi="Garamond"/>
          <w:noProof/>
          <w:sz w:val="24"/>
          <w:szCs w:val="24"/>
          <w:lang w:val="en-GB"/>
        </w:rPr>
        <w:t xml:space="preserve"> common goods. To understand what drives</w:t>
      </w:r>
      <w:r w:rsidR="000E5BA6" w:rsidRPr="00A17D9B">
        <w:rPr>
          <w:rFonts w:ascii="Garamond" w:hAnsi="Garamond"/>
          <w:noProof/>
          <w:sz w:val="24"/>
          <w:szCs w:val="24"/>
          <w:lang w:val="en-GB"/>
        </w:rPr>
        <w:t xml:space="preserve"> this dynamic equilibrium quickly became our goal.</w:t>
      </w:r>
    </w:p>
    <w:p w14:paraId="375F15C8" w14:textId="7C188863" w:rsidR="0068128E" w:rsidRPr="00A17D9B" w:rsidRDefault="00BC5BCB" w:rsidP="00832FFA">
      <w:pPr>
        <w:jc w:val="both"/>
        <w:rPr>
          <w:rFonts w:ascii="Garamond" w:hAnsi="Garamond"/>
          <w:noProof/>
          <w:sz w:val="24"/>
          <w:szCs w:val="24"/>
          <w:lang w:val="en-GB"/>
        </w:rPr>
      </w:pPr>
      <w:r w:rsidRPr="00A17D9B">
        <w:rPr>
          <w:rFonts w:ascii="Garamond" w:hAnsi="Garamond"/>
          <w:noProof/>
          <w:sz w:val="24"/>
          <w:szCs w:val="24"/>
          <w:lang w:val="en-GB"/>
        </w:rPr>
        <w:t>Give this</w:t>
      </w:r>
      <w:r w:rsidR="0068128E" w:rsidRPr="00A17D9B">
        <w:rPr>
          <w:rFonts w:ascii="Garamond" w:hAnsi="Garamond"/>
          <w:noProof/>
          <w:sz w:val="24"/>
          <w:szCs w:val="24"/>
          <w:lang w:val="en-GB"/>
        </w:rPr>
        <w:t>, three research seminars were organised between 2017 and 2018 in Puebla (UPAEP), Barcelona (IQS) and South Bend (ND). Each gathered typically 25 invited scholars to work on the design of a matrix of common good dynamics. A discussion paper prepared by the IPBC, would focu</w:t>
      </w:r>
      <w:r w:rsidRPr="00A17D9B">
        <w:rPr>
          <w:rFonts w:ascii="Garamond" w:hAnsi="Garamond"/>
          <w:noProof/>
          <w:sz w:val="24"/>
          <w:szCs w:val="24"/>
          <w:lang w:val="en-GB"/>
        </w:rPr>
        <w:t>s the debate during the two day</w:t>
      </w:r>
      <w:r w:rsidR="0068128E" w:rsidRPr="00A17D9B">
        <w:rPr>
          <w:rFonts w:ascii="Garamond" w:hAnsi="Garamond"/>
          <w:noProof/>
          <w:sz w:val="24"/>
          <w:szCs w:val="24"/>
          <w:lang w:val="en-GB"/>
        </w:rPr>
        <w:t xml:space="preserve"> seminars and lead to a revised proposal for the next one. In February 2019</w:t>
      </w:r>
      <w:r w:rsidRPr="00A17D9B">
        <w:rPr>
          <w:rFonts w:ascii="Garamond" w:hAnsi="Garamond"/>
          <w:noProof/>
          <w:sz w:val="24"/>
          <w:szCs w:val="24"/>
          <w:lang w:val="en-GB"/>
        </w:rPr>
        <w:t>,</w:t>
      </w:r>
      <w:r w:rsidR="0068128E" w:rsidRPr="00A17D9B">
        <w:rPr>
          <w:rFonts w:ascii="Garamond" w:hAnsi="Garamond"/>
          <w:noProof/>
          <w:sz w:val="24"/>
          <w:szCs w:val="24"/>
          <w:lang w:val="en-GB"/>
        </w:rPr>
        <w:t xml:space="preserve"> a first version of a matrix and a metric of common good dynamics was presented at an </w:t>
      </w:r>
      <w:r w:rsidRPr="00A17D9B">
        <w:rPr>
          <w:rFonts w:ascii="Garamond" w:hAnsi="Garamond"/>
          <w:noProof/>
          <w:sz w:val="24"/>
          <w:szCs w:val="24"/>
          <w:lang w:val="en-GB"/>
        </w:rPr>
        <w:t>i</w:t>
      </w:r>
      <w:r w:rsidR="0068128E" w:rsidRPr="00A17D9B">
        <w:rPr>
          <w:rFonts w:ascii="Garamond" w:hAnsi="Garamond"/>
          <w:noProof/>
          <w:sz w:val="24"/>
          <w:szCs w:val="24"/>
          <w:lang w:val="en-GB"/>
        </w:rPr>
        <w:t>nternati</w:t>
      </w:r>
      <w:r w:rsidRPr="00A17D9B">
        <w:rPr>
          <w:rFonts w:ascii="Garamond" w:hAnsi="Garamond"/>
          <w:noProof/>
          <w:sz w:val="24"/>
          <w:szCs w:val="24"/>
          <w:lang w:val="en-GB"/>
        </w:rPr>
        <w:t>onal conference organised by</w:t>
      </w:r>
      <w:r w:rsidR="0068128E" w:rsidRPr="00A17D9B">
        <w:rPr>
          <w:rFonts w:ascii="Garamond" w:hAnsi="Garamond"/>
          <w:noProof/>
          <w:sz w:val="24"/>
          <w:szCs w:val="24"/>
          <w:lang w:val="en-GB"/>
        </w:rPr>
        <w:t xml:space="preserve"> UPAEP. </w:t>
      </w:r>
      <w:r w:rsidRPr="00A17D9B">
        <w:rPr>
          <w:rFonts w:ascii="Garamond" w:hAnsi="Garamond"/>
          <w:noProof/>
          <w:sz w:val="24"/>
          <w:szCs w:val="24"/>
          <w:lang w:val="en-GB"/>
        </w:rPr>
        <w:t>In the following months, t</w:t>
      </w:r>
      <w:r w:rsidR="0068128E" w:rsidRPr="00A17D9B">
        <w:rPr>
          <w:rFonts w:ascii="Garamond" w:hAnsi="Garamond"/>
          <w:noProof/>
          <w:sz w:val="24"/>
          <w:szCs w:val="24"/>
          <w:lang w:val="en-GB"/>
        </w:rPr>
        <w:t xml:space="preserve">he IPBC’s research team </w:t>
      </w:r>
      <w:r w:rsidRPr="00A17D9B">
        <w:rPr>
          <w:rFonts w:ascii="Garamond" w:hAnsi="Garamond"/>
          <w:noProof/>
          <w:sz w:val="24"/>
          <w:szCs w:val="24"/>
          <w:lang w:val="en-GB"/>
        </w:rPr>
        <w:t xml:space="preserve">came up </w:t>
      </w:r>
      <w:r w:rsidR="0068128E" w:rsidRPr="00A17D9B">
        <w:rPr>
          <w:rFonts w:ascii="Garamond" w:hAnsi="Garamond"/>
          <w:noProof/>
          <w:sz w:val="24"/>
          <w:szCs w:val="24"/>
          <w:lang w:val="en-GB"/>
        </w:rPr>
        <w:t>with a questionnaire (</w:t>
      </w:r>
      <w:r w:rsidR="00886927" w:rsidRPr="00A17D9B">
        <w:rPr>
          <w:rFonts w:ascii="Garamond" w:hAnsi="Garamond"/>
          <w:noProof/>
          <w:sz w:val="24"/>
          <w:szCs w:val="24"/>
          <w:lang w:val="en-GB"/>
        </w:rPr>
        <w:t>m</w:t>
      </w:r>
      <w:r w:rsidRPr="00A17D9B">
        <w:rPr>
          <w:rFonts w:ascii="Garamond" w:hAnsi="Garamond"/>
          <w:noProof/>
          <w:sz w:val="24"/>
          <w:szCs w:val="24"/>
          <w:lang w:val="en-GB"/>
        </w:rPr>
        <w:t>etric), which was analyzed</w:t>
      </w:r>
      <w:r w:rsidR="0068128E" w:rsidRPr="00A17D9B">
        <w:rPr>
          <w:rFonts w:ascii="Garamond" w:hAnsi="Garamond"/>
          <w:noProof/>
          <w:sz w:val="24"/>
          <w:szCs w:val="24"/>
          <w:lang w:val="en-GB"/>
        </w:rPr>
        <w:t xml:space="preserve"> in regular meetings of the local committee, tested through cognitive interviewing and finally </w:t>
      </w:r>
      <w:r w:rsidR="00886927" w:rsidRPr="00A17D9B">
        <w:rPr>
          <w:rFonts w:ascii="Garamond" w:hAnsi="Garamond"/>
          <w:noProof/>
          <w:sz w:val="24"/>
          <w:szCs w:val="24"/>
          <w:lang w:val="en-GB"/>
        </w:rPr>
        <w:t xml:space="preserve">tested through </w:t>
      </w:r>
      <w:r w:rsidR="009E6CC6" w:rsidRPr="00A17D9B">
        <w:rPr>
          <w:rFonts w:ascii="Garamond" w:hAnsi="Garamond"/>
          <w:noProof/>
          <w:sz w:val="24"/>
          <w:szCs w:val="24"/>
          <w:lang w:val="en-GB"/>
        </w:rPr>
        <w:t>two</w:t>
      </w:r>
      <w:r w:rsidR="0068128E" w:rsidRPr="00A17D9B">
        <w:rPr>
          <w:rFonts w:ascii="Garamond" w:hAnsi="Garamond"/>
          <w:noProof/>
          <w:sz w:val="24"/>
          <w:szCs w:val="24"/>
          <w:lang w:val="en-GB"/>
        </w:rPr>
        <w:t xml:space="preserve"> pilot probe</w:t>
      </w:r>
      <w:r w:rsidR="009E6CC6" w:rsidRPr="00A17D9B">
        <w:rPr>
          <w:rFonts w:ascii="Garamond" w:hAnsi="Garamond"/>
          <w:noProof/>
          <w:sz w:val="24"/>
          <w:szCs w:val="24"/>
          <w:lang w:val="en-GB"/>
        </w:rPr>
        <w:t>s</w:t>
      </w:r>
      <w:r w:rsidR="0068128E" w:rsidRPr="00A17D9B">
        <w:rPr>
          <w:rFonts w:ascii="Garamond" w:hAnsi="Garamond"/>
          <w:noProof/>
          <w:sz w:val="24"/>
          <w:szCs w:val="24"/>
          <w:lang w:val="en-GB"/>
        </w:rPr>
        <w:t xml:space="preserve"> applied in </w:t>
      </w:r>
      <w:r w:rsidR="009E6CC6" w:rsidRPr="00A17D9B">
        <w:rPr>
          <w:rFonts w:ascii="Garamond" w:hAnsi="Garamond"/>
          <w:noProof/>
          <w:sz w:val="24"/>
          <w:szCs w:val="24"/>
          <w:lang w:val="en-GB"/>
        </w:rPr>
        <w:t xml:space="preserve">May and June </w:t>
      </w:r>
      <w:r w:rsidR="0068128E" w:rsidRPr="00A17D9B">
        <w:rPr>
          <w:rFonts w:ascii="Garamond" w:hAnsi="Garamond"/>
          <w:noProof/>
          <w:sz w:val="24"/>
          <w:szCs w:val="24"/>
          <w:lang w:val="en-GB"/>
        </w:rPr>
        <w:t xml:space="preserve">2019 in </w:t>
      </w:r>
      <w:r w:rsidR="009E6CC6" w:rsidRPr="00A17D9B">
        <w:rPr>
          <w:rFonts w:ascii="Garamond" w:hAnsi="Garamond"/>
          <w:noProof/>
          <w:sz w:val="24"/>
          <w:szCs w:val="24"/>
          <w:lang w:val="en-GB"/>
        </w:rPr>
        <w:t xml:space="preserve">Atlixco and </w:t>
      </w:r>
      <w:r w:rsidR="0068128E" w:rsidRPr="00A17D9B">
        <w:rPr>
          <w:rFonts w:ascii="Garamond" w:hAnsi="Garamond"/>
          <w:noProof/>
          <w:sz w:val="24"/>
          <w:szCs w:val="24"/>
          <w:lang w:val="en-GB"/>
        </w:rPr>
        <w:t xml:space="preserve">Ocotepec. The questionnaire was then duly revised and successively applied in two </w:t>
      </w:r>
      <w:r w:rsidR="00886927" w:rsidRPr="00A17D9B">
        <w:rPr>
          <w:rFonts w:ascii="Garamond" w:hAnsi="Garamond"/>
          <w:noProof/>
          <w:sz w:val="24"/>
          <w:szCs w:val="24"/>
          <w:lang w:val="en-GB"/>
        </w:rPr>
        <w:t xml:space="preserve">other </w:t>
      </w:r>
      <w:r w:rsidR="0068128E" w:rsidRPr="00A17D9B">
        <w:rPr>
          <w:rFonts w:ascii="Garamond" w:hAnsi="Garamond"/>
          <w:noProof/>
          <w:sz w:val="24"/>
          <w:szCs w:val="24"/>
          <w:lang w:val="en-GB"/>
        </w:rPr>
        <w:t>municipalities between July and December 2019 (Atlixco and San Andres Chol</w:t>
      </w:r>
      <w:r w:rsidRPr="00A17D9B">
        <w:rPr>
          <w:rFonts w:ascii="Garamond" w:hAnsi="Garamond"/>
          <w:noProof/>
          <w:sz w:val="24"/>
          <w:szCs w:val="24"/>
          <w:lang w:val="en-GB"/>
        </w:rPr>
        <w:t>ula). The results were analyzed</w:t>
      </w:r>
      <w:r w:rsidR="0068128E" w:rsidRPr="00A17D9B">
        <w:rPr>
          <w:rFonts w:ascii="Garamond" w:hAnsi="Garamond"/>
          <w:noProof/>
          <w:sz w:val="24"/>
          <w:szCs w:val="24"/>
          <w:lang w:val="en-GB"/>
        </w:rPr>
        <w:t xml:space="preserve"> on regular meetings of the local research committee and presented a</w:t>
      </w:r>
      <w:r w:rsidRPr="00A17D9B">
        <w:rPr>
          <w:rFonts w:ascii="Garamond" w:hAnsi="Garamond"/>
          <w:noProof/>
          <w:sz w:val="24"/>
          <w:szCs w:val="24"/>
          <w:lang w:val="en-GB"/>
        </w:rPr>
        <w:t>t a fourth research seminar in M</w:t>
      </w:r>
      <w:r w:rsidR="0068128E" w:rsidRPr="00A17D9B">
        <w:rPr>
          <w:rFonts w:ascii="Garamond" w:hAnsi="Garamond"/>
          <w:noProof/>
          <w:sz w:val="24"/>
          <w:szCs w:val="24"/>
          <w:lang w:val="en-GB"/>
        </w:rPr>
        <w:t xml:space="preserve">arch 2020 in Puebla.  </w:t>
      </w:r>
    </w:p>
    <w:p w14:paraId="0A21973D" w14:textId="362E4D35" w:rsidR="000E5BA6" w:rsidRPr="00A17D9B" w:rsidRDefault="000E5BA6" w:rsidP="00832FFA">
      <w:pPr>
        <w:jc w:val="both"/>
        <w:rPr>
          <w:rFonts w:ascii="Garamond" w:hAnsi="Garamond"/>
          <w:noProof/>
          <w:sz w:val="24"/>
          <w:szCs w:val="24"/>
          <w:lang w:val="en-GB"/>
        </w:rPr>
      </w:pPr>
      <w:r w:rsidRPr="00A17D9B">
        <w:rPr>
          <w:rFonts w:ascii="Garamond" w:hAnsi="Garamond"/>
          <w:noProof/>
          <w:sz w:val="24"/>
          <w:szCs w:val="24"/>
          <w:lang w:val="en-GB"/>
        </w:rPr>
        <w:t xml:space="preserve">The </w:t>
      </w:r>
      <w:r w:rsidR="0068128E" w:rsidRPr="00A17D9B">
        <w:rPr>
          <w:rFonts w:ascii="Garamond" w:hAnsi="Garamond"/>
          <w:noProof/>
          <w:sz w:val="24"/>
          <w:szCs w:val="24"/>
          <w:lang w:val="en-GB"/>
        </w:rPr>
        <w:t xml:space="preserve">first statistically formal </w:t>
      </w:r>
      <w:r w:rsidRPr="00A17D9B">
        <w:rPr>
          <w:rFonts w:ascii="Garamond" w:hAnsi="Garamond"/>
          <w:noProof/>
          <w:sz w:val="24"/>
          <w:szCs w:val="24"/>
          <w:lang w:val="en-GB"/>
        </w:rPr>
        <w:t xml:space="preserve">application took place in San Andres Cholula, </w:t>
      </w:r>
      <w:r w:rsidR="00BC5BCB" w:rsidRPr="00A17D9B">
        <w:rPr>
          <w:rFonts w:ascii="Garamond" w:hAnsi="Garamond"/>
          <w:noProof/>
          <w:sz w:val="24"/>
          <w:szCs w:val="24"/>
          <w:lang w:val="en-GB"/>
        </w:rPr>
        <w:t>a peri-urban municipality near</w:t>
      </w:r>
      <w:r w:rsidRPr="00A17D9B">
        <w:rPr>
          <w:rFonts w:ascii="Garamond" w:hAnsi="Garamond"/>
          <w:noProof/>
          <w:sz w:val="24"/>
          <w:szCs w:val="24"/>
          <w:lang w:val="en-GB"/>
        </w:rPr>
        <w:t xml:space="preserve"> the city of Puebla. It was previously a mostly indigenous village but </w:t>
      </w:r>
      <w:r w:rsidR="0068128E" w:rsidRPr="00A17D9B">
        <w:rPr>
          <w:rFonts w:ascii="Garamond" w:hAnsi="Garamond"/>
          <w:noProof/>
          <w:sz w:val="24"/>
          <w:szCs w:val="24"/>
          <w:lang w:val="en-GB"/>
        </w:rPr>
        <w:t xml:space="preserve">was </w:t>
      </w:r>
      <w:r w:rsidR="00BC5BCB" w:rsidRPr="00A17D9B">
        <w:rPr>
          <w:rFonts w:ascii="Garamond" w:hAnsi="Garamond"/>
          <w:noProof/>
          <w:sz w:val="24"/>
          <w:szCs w:val="24"/>
          <w:lang w:val="en-GB"/>
        </w:rPr>
        <w:t>conquere</w:t>
      </w:r>
      <w:r w:rsidRPr="00A17D9B">
        <w:rPr>
          <w:rFonts w:ascii="Garamond" w:hAnsi="Garamond"/>
          <w:noProof/>
          <w:sz w:val="24"/>
          <w:szCs w:val="24"/>
          <w:lang w:val="en-GB"/>
        </w:rPr>
        <w:t xml:space="preserve">d by the urban sprawl since the turn of the century. Its population has </w:t>
      </w:r>
      <w:r w:rsidR="00BC5BCB" w:rsidRPr="00A17D9B">
        <w:rPr>
          <w:rFonts w:ascii="Garamond" w:hAnsi="Garamond"/>
          <w:noProof/>
          <w:sz w:val="24"/>
          <w:szCs w:val="24"/>
          <w:lang w:val="en-GB"/>
        </w:rPr>
        <w:t>grown to reach a staggering 160,</w:t>
      </w:r>
      <w:r w:rsidRPr="00A17D9B">
        <w:rPr>
          <w:rFonts w:ascii="Garamond" w:hAnsi="Garamond"/>
          <w:noProof/>
          <w:sz w:val="24"/>
          <w:szCs w:val="24"/>
          <w:lang w:val="en-GB"/>
        </w:rPr>
        <w:t>000 people, mostly newcomers from other part</w:t>
      </w:r>
      <w:r w:rsidR="00BC5BCB" w:rsidRPr="00A17D9B">
        <w:rPr>
          <w:rFonts w:ascii="Garamond" w:hAnsi="Garamond"/>
          <w:noProof/>
          <w:sz w:val="24"/>
          <w:szCs w:val="24"/>
          <w:lang w:val="en-GB"/>
        </w:rPr>
        <w:t>s</w:t>
      </w:r>
      <w:r w:rsidRPr="00A17D9B">
        <w:rPr>
          <w:rFonts w:ascii="Garamond" w:hAnsi="Garamond"/>
          <w:noProof/>
          <w:sz w:val="24"/>
          <w:szCs w:val="24"/>
          <w:lang w:val="en-GB"/>
        </w:rPr>
        <w:t xml:space="preserve"> of the country. Its economy is diversified, comprising industry and service as well as agriculture. 40% of the population is </w:t>
      </w:r>
      <w:r w:rsidRPr="00A17D9B">
        <w:rPr>
          <w:rFonts w:ascii="Garamond" w:hAnsi="Garamond"/>
          <w:noProof/>
          <w:sz w:val="24"/>
          <w:szCs w:val="24"/>
          <w:lang w:val="en-GB"/>
        </w:rPr>
        <w:lastRenderedPageBreak/>
        <w:t xml:space="preserve">classified as poor, with only 3% in extreme poverty, which is well below the national mean </w:t>
      </w:r>
      <w:r w:rsidR="00886927" w:rsidRPr="00A17D9B">
        <w:rPr>
          <w:rFonts w:ascii="Garamond" w:hAnsi="Garamond"/>
          <w:noProof/>
          <w:sz w:val="24"/>
          <w:szCs w:val="24"/>
          <w:lang w:val="en-GB"/>
        </w:rPr>
        <w:t xml:space="preserve">of Mexico </w:t>
      </w:r>
      <w:r w:rsidRPr="00A17D9B">
        <w:rPr>
          <w:rFonts w:ascii="Garamond" w:hAnsi="Garamond"/>
          <w:noProof/>
          <w:sz w:val="24"/>
          <w:szCs w:val="24"/>
          <w:lang w:val="en-GB"/>
        </w:rPr>
        <w:t xml:space="preserve">(CONEVAL 2015). Indeed, by income, it is one of the wealthiest </w:t>
      </w:r>
      <w:r w:rsidR="0068128E" w:rsidRPr="00A17D9B">
        <w:rPr>
          <w:rFonts w:ascii="Garamond" w:hAnsi="Garamond"/>
          <w:noProof/>
          <w:sz w:val="24"/>
          <w:szCs w:val="24"/>
          <w:lang w:val="en-GB"/>
        </w:rPr>
        <w:t>municipalities</w:t>
      </w:r>
      <w:r w:rsidR="00BC5BCB" w:rsidRPr="00A17D9B">
        <w:rPr>
          <w:rFonts w:ascii="Garamond" w:hAnsi="Garamond"/>
          <w:noProof/>
          <w:sz w:val="24"/>
          <w:szCs w:val="24"/>
          <w:lang w:val="en-GB"/>
        </w:rPr>
        <w:t xml:space="preserve"> in</w:t>
      </w:r>
      <w:r w:rsidRPr="00A17D9B">
        <w:rPr>
          <w:rFonts w:ascii="Garamond" w:hAnsi="Garamond"/>
          <w:noProof/>
          <w:sz w:val="24"/>
          <w:szCs w:val="24"/>
          <w:lang w:val="en-GB"/>
        </w:rPr>
        <w:t xml:space="preserve"> Mexico. Inequalities are correspondingly higher than in other part</w:t>
      </w:r>
      <w:r w:rsidR="00BC5BCB" w:rsidRPr="00A17D9B">
        <w:rPr>
          <w:rFonts w:ascii="Garamond" w:hAnsi="Garamond"/>
          <w:noProof/>
          <w:sz w:val="24"/>
          <w:szCs w:val="24"/>
          <w:lang w:val="en-GB"/>
        </w:rPr>
        <w:t>s of the s</w:t>
      </w:r>
      <w:r w:rsidRPr="00A17D9B">
        <w:rPr>
          <w:rFonts w:ascii="Garamond" w:hAnsi="Garamond"/>
          <w:noProof/>
          <w:sz w:val="24"/>
          <w:szCs w:val="24"/>
          <w:lang w:val="en-GB"/>
        </w:rPr>
        <w:t xml:space="preserve">tate of Puebla. The structure of the municipality is complex, with the old village now embroiled with gigantic gated communities, shopping malls, industries and – </w:t>
      </w:r>
      <w:r w:rsidR="00BC5BCB" w:rsidRPr="00A17D9B">
        <w:rPr>
          <w:rFonts w:ascii="Garamond" w:hAnsi="Garamond"/>
          <w:noProof/>
          <w:sz w:val="24"/>
          <w:szCs w:val="24"/>
          <w:lang w:val="en-GB"/>
        </w:rPr>
        <w:t xml:space="preserve">there’s </w:t>
      </w:r>
      <w:r w:rsidRPr="00A17D9B">
        <w:rPr>
          <w:rFonts w:ascii="Garamond" w:hAnsi="Garamond"/>
          <w:noProof/>
          <w:sz w:val="24"/>
          <w:szCs w:val="24"/>
          <w:lang w:val="en-GB"/>
        </w:rPr>
        <w:t>still – open land dedicated to agriculture. We reached an agreement with the municipali</w:t>
      </w:r>
      <w:r w:rsidR="00BC5BCB" w:rsidRPr="00A17D9B">
        <w:rPr>
          <w:rFonts w:ascii="Garamond" w:hAnsi="Garamond"/>
          <w:noProof/>
          <w:sz w:val="24"/>
          <w:szCs w:val="24"/>
          <w:lang w:val="en-GB"/>
        </w:rPr>
        <w:t>ty to conduct the survey using</w:t>
      </w:r>
      <w:r w:rsidRPr="00A17D9B">
        <w:rPr>
          <w:rFonts w:ascii="Garamond" w:hAnsi="Garamond"/>
          <w:noProof/>
          <w:sz w:val="24"/>
          <w:szCs w:val="24"/>
          <w:lang w:val="en-GB"/>
        </w:rPr>
        <w:t xml:space="preserve"> a professional polling agency, with the IPBC research team then analysing the data. 650 questionnaires were applied during November and December 2019</w:t>
      </w:r>
      <w:r w:rsidR="00775312" w:rsidRPr="00A17D9B">
        <w:rPr>
          <w:rFonts w:ascii="Garamond" w:hAnsi="Garamond"/>
          <w:noProof/>
          <w:sz w:val="24"/>
          <w:szCs w:val="24"/>
          <w:lang w:val="en-GB"/>
        </w:rPr>
        <w:t xml:space="preserve">. We selected a </w:t>
      </w:r>
      <w:r w:rsidRPr="00A17D9B">
        <w:rPr>
          <w:rFonts w:ascii="Garamond" w:hAnsi="Garamond"/>
          <w:noProof/>
          <w:sz w:val="24"/>
          <w:szCs w:val="24"/>
          <w:lang w:val="en-GB"/>
        </w:rPr>
        <w:t>sample reflecting the age, education, gender and location of the population. The questionnaire</w:t>
      </w:r>
      <w:r w:rsidR="00775312" w:rsidRPr="00A17D9B">
        <w:rPr>
          <w:rFonts w:ascii="Garamond" w:hAnsi="Garamond"/>
          <w:noProof/>
          <w:sz w:val="24"/>
          <w:szCs w:val="24"/>
          <w:lang w:val="en-GB"/>
        </w:rPr>
        <w:t xml:space="preserve"> itself provided  indicators</w:t>
      </w:r>
      <w:r w:rsidRPr="00A17D9B">
        <w:rPr>
          <w:rFonts w:ascii="Garamond" w:hAnsi="Garamond"/>
          <w:noProof/>
          <w:sz w:val="24"/>
          <w:szCs w:val="24"/>
          <w:lang w:val="en-GB"/>
        </w:rPr>
        <w:t xml:space="preserve"> for socio-economic status and indigenous belonging. </w:t>
      </w:r>
    </w:p>
    <w:p w14:paraId="45B3BA34" w14:textId="16E054FB" w:rsidR="000E5BA6" w:rsidRPr="00A17D9B" w:rsidRDefault="000E5BA6" w:rsidP="00832FFA">
      <w:pPr>
        <w:jc w:val="both"/>
        <w:rPr>
          <w:rFonts w:ascii="Garamond" w:hAnsi="Garamond"/>
          <w:noProof/>
          <w:sz w:val="24"/>
          <w:szCs w:val="24"/>
          <w:lang w:val="en-GB"/>
        </w:rPr>
      </w:pPr>
      <w:r w:rsidRPr="00A17D9B">
        <w:rPr>
          <w:rFonts w:ascii="Garamond" w:hAnsi="Garamond"/>
          <w:noProof/>
          <w:sz w:val="24"/>
          <w:szCs w:val="24"/>
          <w:lang w:val="en-GB"/>
        </w:rPr>
        <w:t xml:space="preserve">A </w:t>
      </w:r>
      <w:r w:rsidR="0068128E" w:rsidRPr="00A17D9B">
        <w:rPr>
          <w:rFonts w:ascii="Garamond" w:hAnsi="Garamond"/>
          <w:noProof/>
          <w:sz w:val="24"/>
          <w:szCs w:val="24"/>
          <w:lang w:val="en-GB"/>
        </w:rPr>
        <w:t xml:space="preserve">second </w:t>
      </w:r>
      <w:r w:rsidRPr="00A17D9B">
        <w:rPr>
          <w:rFonts w:ascii="Garamond" w:hAnsi="Garamond"/>
          <w:noProof/>
          <w:sz w:val="24"/>
          <w:szCs w:val="24"/>
          <w:lang w:val="en-GB"/>
        </w:rPr>
        <w:t>application took place in Atlixco, a rural town about 40 kilometres from the city of Puebla</w:t>
      </w:r>
      <w:r w:rsidR="00775312" w:rsidRPr="00A17D9B">
        <w:rPr>
          <w:rFonts w:ascii="Garamond" w:hAnsi="Garamond"/>
          <w:noProof/>
          <w:sz w:val="24"/>
          <w:szCs w:val="24"/>
          <w:lang w:val="en-GB"/>
        </w:rPr>
        <w:t xml:space="preserve"> with a total population of 136,</w:t>
      </w:r>
      <w:r w:rsidRPr="00A17D9B">
        <w:rPr>
          <w:rFonts w:ascii="Garamond" w:hAnsi="Garamond"/>
          <w:noProof/>
          <w:sz w:val="24"/>
          <w:szCs w:val="24"/>
          <w:lang w:val="en-GB"/>
        </w:rPr>
        <w:t>00</w:t>
      </w:r>
      <w:r w:rsidR="00775312" w:rsidRPr="00A17D9B">
        <w:rPr>
          <w:rFonts w:ascii="Garamond" w:hAnsi="Garamond"/>
          <w:noProof/>
          <w:sz w:val="24"/>
          <w:szCs w:val="24"/>
          <w:lang w:val="en-GB"/>
        </w:rPr>
        <w:t>0 people. Laying lower than the s</w:t>
      </w:r>
      <w:r w:rsidRPr="00A17D9B">
        <w:rPr>
          <w:rFonts w:ascii="Garamond" w:hAnsi="Garamond"/>
          <w:noProof/>
          <w:sz w:val="24"/>
          <w:szCs w:val="24"/>
          <w:lang w:val="en-GB"/>
        </w:rPr>
        <w:t>tate capital (1900m ASL)</w:t>
      </w:r>
      <w:r w:rsidR="00775312" w:rsidRPr="00A17D9B">
        <w:rPr>
          <w:rFonts w:ascii="Garamond" w:hAnsi="Garamond"/>
          <w:noProof/>
          <w:sz w:val="24"/>
          <w:szCs w:val="24"/>
          <w:lang w:val="en-GB"/>
        </w:rPr>
        <w:t xml:space="preserve"> and with plenty of water</w:t>
      </w:r>
      <w:r w:rsidR="003C7698" w:rsidRPr="00A17D9B">
        <w:rPr>
          <w:rFonts w:ascii="Garamond" w:hAnsi="Garamond"/>
          <w:noProof/>
          <w:sz w:val="24"/>
          <w:szCs w:val="24"/>
          <w:lang w:val="en-GB"/>
        </w:rPr>
        <w:t>,</w:t>
      </w:r>
      <w:r w:rsidRPr="00A17D9B">
        <w:rPr>
          <w:rFonts w:ascii="Garamond" w:hAnsi="Garamond"/>
          <w:noProof/>
          <w:sz w:val="24"/>
          <w:szCs w:val="24"/>
          <w:lang w:val="en-GB"/>
        </w:rPr>
        <w:t xml:space="preserve"> it is mainly dedicated to intensive agriculture and horticulture. Many people however work in the city of Puebla and commute every day. The municipality is generally po</w:t>
      </w:r>
      <w:r w:rsidR="00775312" w:rsidRPr="00A17D9B">
        <w:rPr>
          <w:rFonts w:ascii="Garamond" w:hAnsi="Garamond"/>
          <w:noProof/>
          <w:sz w:val="24"/>
          <w:szCs w:val="24"/>
          <w:lang w:val="en-GB"/>
        </w:rPr>
        <w:t>or (60%), with 10 % still living</w:t>
      </w:r>
      <w:r w:rsidRPr="00A17D9B">
        <w:rPr>
          <w:rFonts w:ascii="Garamond" w:hAnsi="Garamond"/>
          <w:noProof/>
          <w:sz w:val="24"/>
          <w:szCs w:val="24"/>
          <w:lang w:val="en-GB"/>
        </w:rPr>
        <w:t xml:space="preserve"> in extrem</w:t>
      </w:r>
      <w:r w:rsidR="00775312" w:rsidRPr="00A17D9B">
        <w:rPr>
          <w:rFonts w:ascii="Garamond" w:hAnsi="Garamond"/>
          <w:noProof/>
          <w:sz w:val="24"/>
          <w:szCs w:val="24"/>
          <w:lang w:val="en-GB"/>
        </w:rPr>
        <w:t>e poverty. Income is a problem</w:t>
      </w:r>
      <w:r w:rsidRPr="00A17D9B">
        <w:rPr>
          <w:rFonts w:ascii="Garamond" w:hAnsi="Garamond"/>
          <w:noProof/>
          <w:sz w:val="24"/>
          <w:szCs w:val="24"/>
          <w:lang w:val="en-GB"/>
        </w:rPr>
        <w:t xml:space="preserve"> with over 67% living under the CONEVAL</w:t>
      </w:r>
      <w:r w:rsidR="00775312" w:rsidRPr="00A17D9B">
        <w:rPr>
          <w:rFonts w:ascii="Garamond" w:hAnsi="Garamond"/>
          <w:noProof/>
          <w:sz w:val="24"/>
          <w:szCs w:val="24"/>
          <w:lang w:val="en-GB"/>
        </w:rPr>
        <w:t>´s ‘w</w:t>
      </w:r>
      <w:r w:rsidRPr="00A17D9B">
        <w:rPr>
          <w:rFonts w:ascii="Garamond" w:hAnsi="Garamond"/>
          <w:noProof/>
          <w:sz w:val="24"/>
          <w:szCs w:val="24"/>
          <w:lang w:val="en-GB"/>
        </w:rPr>
        <w:t>ell-being line’</w:t>
      </w:r>
      <w:r w:rsidRPr="00A17D9B">
        <w:rPr>
          <w:rStyle w:val="Refdenotaalpie"/>
          <w:rFonts w:ascii="Garamond" w:hAnsi="Garamond"/>
          <w:noProof/>
          <w:sz w:val="24"/>
          <w:szCs w:val="24"/>
          <w:lang w:val="en-GB"/>
        </w:rPr>
        <w:footnoteReference w:id="3"/>
      </w:r>
      <w:r w:rsidRPr="00A17D9B">
        <w:rPr>
          <w:rFonts w:ascii="Garamond" w:hAnsi="Garamond"/>
          <w:noProof/>
          <w:sz w:val="24"/>
          <w:szCs w:val="24"/>
          <w:lang w:val="en-GB"/>
        </w:rPr>
        <w:t>. The structure</w:t>
      </w:r>
      <w:r w:rsidR="00775312" w:rsidRPr="00A17D9B">
        <w:rPr>
          <w:rFonts w:ascii="Garamond" w:hAnsi="Garamond"/>
          <w:noProof/>
          <w:sz w:val="24"/>
          <w:szCs w:val="24"/>
          <w:lang w:val="en-GB"/>
        </w:rPr>
        <w:t xml:space="preserve"> of the municipality is made up</w:t>
      </w:r>
      <w:r w:rsidRPr="00A17D9B">
        <w:rPr>
          <w:rFonts w:ascii="Garamond" w:hAnsi="Garamond"/>
          <w:noProof/>
          <w:sz w:val="24"/>
          <w:szCs w:val="24"/>
          <w:lang w:val="en-GB"/>
        </w:rPr>
        <w:t xml:space="preserve"> by the town of Atlixco and 12 small villages dispersed around it. We also reached an agreement with the municipality to conduct the survey through the ‘Tecnologico de Atlixco</w:t>
      </w:r>
      <w:r w:rsidR="00775312" w:rsidRPr="00A17D9B">
        <w:rPr>
          <w:rFonts w:ascii="Garamond" w:hAnsi="Garamond"/>
          <w:noProof/>
          <w:sz w:val="24"/>
          <w:szCs w:val="24"/>
          <w:lang w:val="en-GB"/>
        </w:rPr>
        <w:t>,</w:t>
      </w:r>
      <w:r w:rsidRPr="00A17D9B">
        <w:rPr>
          <w:rFonts w:ascii="Garamond" w:hAnsi="Garamond"/>
          <w:noProof/>
          <w:sz w:val="24"/>
          <w:szCs w:val="24"/>
          <w:lang w:val="en-GB"/>
        </w:rPr>
        <w:t>’ a small technological College</w:t>
      </w:r>
      <w:r w:rsidR="0068128E" w:rsidRPr="00A17D9B">
        <w:rPr>
          <w:rFonts w:ascii="Garamond" w:hAnsi="Garamond"/>
          <w:noProof/>
          <w:sz w:val="24"/>
          <w:szCs w:val="24"/>
          <w:lang w:val="en-GB"/>
        </w:rPr>
        <w:t xml:space="preserve"> and a professional polling agency</w:t>
      </w:r>
      <w:r w:rsidRPr="00A17D9B">
        <w:rPr>
          <w:rFonts w:ascii="Garamond" w:hAnsi="Garamond"/>
          <w:noProof/>
          <w:sz w:val="24"/>
          <w:szCs w:val="24"/>
          <w:lang w:val="en-GB"/>
        </w:rPr>
        <w:t xml:space="preserve">. </w:t>
      </w:r>
      <w:r w:rsidR="00775312" w:rsidRPr="00A17D9B">
        <w:rPr>
          <w:rFonts w:ascii="Garamond" w:hAnsi="Garamond"/>
          <w:noProof/>
          <w:sz w:val="24"/>
          <w:szCs w:val="24"/>
          <w:lang w:val="en-GB"/>
        </w:rPr>
        <w:t>We applied 550 questionnaires within</w:t>
      </w:r>
      <w:r w:rsidRPr="00A17D9B">
        <w:rPr>
          <w:rFonts w:ascii="Garamond" w:hAnsi="Garamond"/>
          <w:noProof/>
          <w:sz w:val="24"/>
          <w:szCs w:val="24"/>
          <w:lang w:val="en-GB"/>
        </w:rPr>
        <w:t xml:space="preserve"> a sample</w:t>
      </w:r>
      <w:r w:rsidR="00775312" w:rsidRPr="00A17D9B">
        <w:rPr>
          <w:rFonts w:ascii="Garamond" w:hAnsi="Garamond"/>
          <w:noProof/>
          <w:sz w:val="24"/>
          <w:szCs w:val="24"/>
          <w:lang w:val="en-GB"/>
        </w:rPr>
        <w:t>,</w:t>
      </w:r>
      <w:r w:rsidRPr="00A17D9B">
        <w:rPr>
          <w:rFonts w:ascii="Garamond" w:hAnsi="Garamond"/>
          <w:noProof/>
          <w:sz w:val="24"/>
          <w:szCs w:val="24"/>
          <w:lang w:val="en-GB"/>
        </w:rPr>
        <w:t xml:space="preserve"> reflecting the age, education, gender and location of the population. The questio</w:t>
      </w:r>
      <w:r w:rsidR="00775312" w:rsidRPr="00A17D9B">
        <w:rPr>
          <w:rFonts w:ascii="Garamond" w:hAnsi="Garamond"/>
          <w:noProof/>
          <w:sz w:val="24"/>
          <w:szCs w:val="24"/>
          <w:lang w:val="en-GB"/>
        </w:rPr>
        <w:t>nnaire itself provided indicator</w:t>
      </w:r>
      <w:r w:rsidR="0068128E" w:rsidRPr="00A17D9B">
        <w:rPr>
          <w:rFonts w:ascii="Garamond" w:hAnsi="Garamond"/>
          <w:noProof/>
          <w:sz w:val="24"/>
          <w:szCs w:val="24"/>
          <w:lang w:val="en-GB"/>
        </w:rPr>
        <w:t>s</w:t>
      </w:r>
      <w:r w:rsidRPr="00A17D9B">
        <w:rPr>
          <w:rFonts w:ascii="Garamond" w:hAnsi="Garamond"/>
          <w:noProof/>
          <w:sz w:val="24"/>
          <w:szCs w:val="24"/>
          <w:lang w:val="en-GB"/>
        </w:rPr>
        <w:t xml:space="preserve"> for socio-economic status and indigenous belonging. </w:t>
      </w:r>
    </w:p>
    <w:p w14:paraId="3C0C4092" w14:textId="1C074DB2" w:rsidR="003A0863" w:rsidRPr="00A17D9B" w:rsidRDefault="00F42315" w:rsidP="007623CF">
      <w:pPr>
        <w:pStyle w:val="Ttulo1"/>
        <w:jc w:val="right"/>
        <w:rPr>
          <w:noProof/>
          <w:lang w:val="en-GB"/>
        </w:rPr>
      </w:pPr>
      <w:r w:rsidRPr="00A17D9B">
        <w:rPr>
          <w:noProof/>
          <w:lang w:val="en-GB"/>
        </w:rPr>
        <w:t xml:space="preserve">A </w:t>
      </w:r>
      <w:r w:rsidR="00614DCB" w:rsidRPr="00A17D9B">
        <w:rPr>
          <w:noProof/>
          <w:lang w:val="en-GB"/>
        </w:rPr>
        <w:t>Matrix and M</w:t>
      </w:r>
      <w:r w:rsidR="00832FFA" w:rsidRPr="00A17D9B">
        <w:rPr>
          <w:noProof/>
          <w:lang w:val="en-GB"/>
        </w:rPr>
        <w:t xml:space="preserve">etrics </w:t>
      </w:r>
      <w:r w:rsidR="00614DCB" w:rsidRPr="00A17D9B">
        <w:rPr>
          <w:noProof/>
          <w:lang w:val="en-GB"/>
        </w:rPr>
        <w:t>of Common Good D</w:t>
      </w:r>
      <w:r w:rsidR="003A0863" w:rsidRPr="00A17D9B">
        <w:rPr>
          <w:noProof/>
          <w:lang w:val="en-GB"/>
        </w:rPr>
        <w:t>ynamics</w:t>
      </w:r>
    </w:p>
    <w:p w14:paraId="63B30911" w14:textId="728492C0" w:rsidR="00BA0BAF" w:rsidRPr="00A17D9B" w:rsidRDefault="00614DCB" w:rsidP="007623CF">
      <w:pPr>
        <w:pStyle w:val="Subttulo"/>
        <w:jc w:val="right"/>
        <w:rPr>
          <w:noProof/>
          <w:lang w:val="en-GB"/>
        </w:rPr>
      </w:pPr>
      <w:r w:rsidRPr="00A17D9B">
        <w:rPr>
          <w:noProof/>
          <w:lang w:val="en-GB"/>
        </w:rPr>
        <w:t>A Common Good Approach to D</w:t>
      </w:r>
      <w:r w:rsidR="00BA0BAF" w:rsidRPr="00A17D9B">
        <w:rPr>
          <w:noProof/>
          <w:lang w:val="en-GB"/>
        </w:rPr>
        <w:t>evelopment</w:t>
      </w:r>
      <w:r w:rsidR="000C728F" w:rsidRPr="00A17D9B">
        <w:rPr>
          <w:noProof/>
          <w:lang w:val="en-GB"/>
        </w:rPr>
        <w:t xml:space="preserve">: </w:t>
      </w:r>
      <w:r w:rsidRPr="00A17D9B">
        <w:rPr>
          <w:noProof/>
          <w:lang w:val="en-GB"/>
        </w:rPr>
        <w:t>Aims of the M</w:t>
      </w:r>
      <w:r w:rsidR="00832FFA" w:rsidRPr="00A17D9B">
        <w:rPr>
          <w:noProof/>
          <w:lang w:val="en-GB"/>
        </w:rPr>
        <w:t>etric</w:t>
      </w:r>
      <w:r w:rsidR="000C728F" w:rsidRPr="00A17D9B">
        <w:rPr>
          <w:noProof/>
          <w:lang w:val="en-GB"/>
        </w:rPr>
        <w:t xml:space="preserve"> </w:t>
      </w:r>
    </w:p>
    <w:p w14:paraId="07F95668" w14:textId="182B5A92" w:rsidR="00BA0BAF" w:rsidRPr="00A17D9B" w:rsidRDefault="00BA0BAF" w:rsidP="00F42315">
      <w:pPr>
        <w:jc w:val="both"/>
        <w:rPr>
          <w:rFonts w:ascii="Garamond" w:hAnsi="Garamond"/>
          <w:noProof/>
          <w:sz w:val="24"/>
          <w:szCs w:val="24"/>
          <w:lang w:val="en-GB"/>
        </w:rPr>
      </w:pPr>
      <w:r w:rsidRPr="00A17D9B">
        <w:rPr>
          <w:rFonts w:ascii="Garamond" w:hAnsi="Garamond"/>
          <w:noProof/>
          <w:sz w:val="24"/>
          <w:szCs w:val="24"/>
          <w:lang w:val="en-GB"/>
        </w:rPr>
        <w:t>Most development indicators rely on individual data</w:t>
      </w:r>
      <w:r w:rsidR="003C7698" w:rsidRPr="00A17D9B">
        <w:rPr>
          <w:rFonts w:ascii="Garamond" w:hAnsi="Garamond"/>
          <w:noProof/>
          <w:sz w:val="24"/>
          <w:szCs w:val="24"/>
          <w:lang w:val="en-GB"/>
        </w:rPr>
        <w:t xml:space="preserve"> and measure </w:t>
      </w:r>
      <w:r w:rsidR="00C228D1" w:rsidRPr="00A17D9B">
        <w:rPr>
          <w:rFonts w:ascii="Garamond" w:hAnsi="Garamond"/>
          <w:noProof/>
          <w:sz w:val="24"/>
          <w:szCs w:val="24"/>
          <w:lang w:val="en-GB"/>
        </w:rPr>
        <w:t>development achievements through individual goods, entitlements or functionings</w:t>
      </w:r>
      <w:r w:rsidRPr="00A17D9B">
        <w:rPr>
          <w:rFonts w:ascii="Garamond" w:hAnsi="Garamond"/>
          <w:noProof/>
          <w:sz w:val="24"/>
          <w:szCs w:val="24"/>
          <w:lang w:val="en-GB"/>
        </w:rPr>
        <w:t xml:space="preserve">. </w:t>
      </w:r>
      <w:r w:rsidR="00C228D1" w:rsidRPr="00A17D9B">
        <w:rPr>
          <w:rFonts w:ascii="Garamond" w:hAnsi="Garamond"/>
          <w:noProof/>
          <w:sz w:val="24"/>
          <w:szCs w:val="24"/>
          <w:lang w:val="en-GB"/>
        </w:rPr>
        <w:t xml:space="preserve">However, the </w:t>
      </w:r>
      <w:r w:rsidR="00C228D1" w:rsidRPr="00A17D9B">
        <w:rPr>
          <w:rFonts w:ascii="Garamond" w:hAnsi="Garamond"/>
          <w:i/>
          <w:noProof/>
          <w:sz w:val="24"/>
          <w:szCs w:val="24"/>
          <w:lang w:val="en-GB"/>
        </w:rPr>
        <w:t>systemic dimension of development,</w:t>
      </w:r>
      <w:r w:rsidR="00C228D1" w:rsidRPr="00A17D9B">
        <w:rPr>
          <w:rFonts w:ascii="Garamond" w:hAnsi="Garamond"/>
          <w:noProof/>
          <w:sz w:val="24"/>
          <w:szCs w:val="24"/>
          <w:lang w:val="en-GB"/>
        </w:rPr>
        <w:t xml:space="preserve"> while recognized, is usually not resolved, like in the present SDGs. </w:t>
      </w:r>
      <w:r w:rsidR="00FD7CC8" w:rsidRPr="00A17D9B">
        <w:rPr>
          <w:rFonts w:ascii="Garamond" w:hAnsi="Garamond"/>
          <w:noProof/>
          <w:sz w:val="24"/>
          <w:szCs w:val="24"/>
          <w:lang w:val="en-GB"/>
        </w:rPr>
        <w:t xml:space="preserve">Societies are complex and interrelated social systems </w:t>
      </w:r>
      <w:r w:rsidR="00C228D1" w:rsidRPr="00A17D9B">
        <w:rPr>
          <w:rFonts w:ascii="Garamond" w:hAnsi="Garamond"/>
          <w:noProof/>
          <w:sz w:val="24"/>
          <w:szCs w:val="24"/>
          <w:lang w:val="en-GB"/>
        </w:rPr>
        <w:t>and development can only be achieved as a whole and not by bits and parcels here and there. H</w:t>
      </w:r>
      <w:r w:rsidRPr="00A17D9B">
        <w:rPr>
          <w:rFonts w:ascii="Garamond" w:hAnsi="Garamond"/>
          <w:noProof/>
          <w:sz w:val="24"/>
          <w:szCs w:val="24"/>
          <w:lang w:val="en-GB"/>
        </w:rPr>
        <w:t xml:space="preserve">ow </w:t>
      </w:r>
      <w:r w:rsidR="008B6C9C" w:rsidRPr="00A17D9B">
        <w:rPr>
          <w:rFonts w:ascii="Garamond" w:hAnsi="Garamond"/>
          <w:noProof/>
          <w:sz w:val="24"/>
          <w:szCs w:val="24"/>
          <w:lang w:val="en-GB"/>
        </w:rPr>
        <w:t xml:space="preserve">the </w:t>
      </w:r>
      <w:r w:rsidRPr="00A17D9B">
        <w:rPr>
          <w:rFonts w:ascii="Garamond" w:hAnsi="Garamond"/>
          <w:noProof/>
          <w:sz w:val="24"/>
          <w:szCs w:val="24"/>
          <w:lang w:val="en-GB"/>
        </w:rPr>
        <w:t xml:space="preserve">social environment </w:t>
      </w:r>
      <w:r w:rsidR="00C228D1" w:rsidRPr="00A17D9B">
        <w:rPr>
          <w:rFonts w:ascii="Garamond" w:hAnsi="Garamond"/>
          <w:noProof/>
          <w:sz w:val="24"/>
          <w:szCs w:val="24"/>
          <w:lang w:val="en-GB"/>
        </w:rPr>
        <w:t xml:space="preserve">does </w:t>
      </w:r>
      <w:r w:rsidRPr="00A17D9B">
        <w:rPr>
          <w:rFonts w:ascii="Garamond" w:hAnsi="Garamond"/>
          <w:noProof/>
          <w:sz w:val="24"/>
          <w:szCs w:val="24"/>
          <w:lang w:val="en-GB"/>
        </w:rPr>
        <w:t xml:space="preserve">shape these individual </w:t>
      </w:r>
      <w:r w:rsidR="00FD7CC8" w:rsidRPr="00A17D9B">
        <w:rPr>
          <w:rFonts w:ascii="Garamond" w:hAnsi="Garamond"/>
          <w:noProof/>
          <w:sz w:val="24"/>
          <w:szCs w:val="24"/>
          <w:lang w:val="en-GB"/>
        </w:rPr>
        <w:t xml:space="preserve">goods, entitlement or </w:t>
      </w:r>
      <w:r w:rsidR="00F42315" w:rsidRPr="00A17D9B">
        <w:rPr>
          <w:rFonts w:ascii="Garamond" w:hAnsi="Garamond"/>
          <w:noProof/>
          <w:sz w:val="24"/>
          <w:szCs w:val="24"/>
          <w:lang w:val="en-GB"/>
        </w:rPr>
        <w:t>functionings</w:t>
      </w:r>
      <w:r w:rsidR="00383014" w:rsidRPr="00A17D9B">
        <w:rPr>
          <w:rFonts w:ascii="Garamond" w:hAnsi="Garamond"/>
          <w:noProof/>
          <w:sz w:val="24"/>
          <w:szCs w:val="24"/>
          <w:lang w:val="en-GB"/>
        </w:rPr>
        <w:t>,</w:t>
      </w:r>
      <w:r w:rsidRPr="00A17D9B">
        <w:rPr>
          <w:rFonts w:ascii="Garamond" w:hAnsi="Garamond"/>
          <w:noProof/>
          <w:sz w:val="24"/>
          <w:szCs w:val="24"/>
          <w:lang w:val="en-GB"/>
        </w:rPr>
        <w:t xml:space="preserve"> </w:t>
      </w:r>
      <w:r w:rsidR="00FD7CC8" w:rsidRPr="00A17D9B">
        <w:rPr>
          <w:rFonts w:ascii="Garamond" w:hAnsi="Garamond"/>
          <w:noProof/>
          <w:sz w:val="24"/>
          <w:szCs w:val="24"/>
          <w:lang w:val="en-GB"/>
        </w:rPr>
        <w:t xml:space="preserve">is </w:t>
      </w:r>
      <w:r w:rsidR="008B6C9C" w:rsidRPr="00A17D9B">
        <w:rPr>
          <w:rFonts w:ascii="Garamond" w:hAnsi="Garamond"/>
          <w:noProof/>
          <w:sz w:val="24"/>
          <w:szCs w:val="24"/>
          <w:lang w:val="en-GB"/>
        </w:rPr>
        <w:t xml:space="preserve">a </w:t>
      </w:r>
      <w:r w:rsidR="00FD7CC8" w:rsidRPr="00A17D9B">
        <w:rPr>
          <w:rFonts w:ascii="Garamond" w:hAnsi="Garamond"/>
          <w:noProof/>
          <w:sz w:val="24"/>
          <w:szCs w:val="24"/>
          <w:lang w:val="en-GB"/>
        </w:rPr>
        <w:t>question eschewed by most development indicators or replaced by clever mathematics</w:t>
      </w:r>
      <w:r w:rsidR="00383014" w:rsidRPr="00A17D9B">
        <w:rPr>
          <w:rFonts w:ascii="Garamond" w:hAnsi="Garamond"/>
          <w:noProof/>
          <w:sz w:val="24"/>
          <w:szCs w:val="24"/>
          <w:lang w:val="en-GB"/>
        </w:rPr>
        <w:t>. G</w:t>
      </w:r>
      <w:r w:rsidRPr="00A17D9B">
        <w:rPr>
          <w:rFonts w:ascii="Garamond" w:hAnsi="Garamond"/>
          <w:noProof/>
          <w:sz w:val="24"/>
          <w:szCs w:val="24"/>
          <w:lang w:val="en-GB"/>
        </w:rPr>
        <w:t>rowing literature argues therefore that we also need to include group or community data in order to grasp and measure ‘collective achievement</w:t>
      </w:r>
      <w:r w:rsidR="00B672C5" w:rsidRPr="00A17D9B">
        <w:rPr>
          <w:rFonts w:ascii="Garamond" w:hAnsi="Garamond"/>
          <w:noProof/>
          <w:sz w:val="24"/>
          <w:szCs w:val="24"/>
          <w:lang w:val="en-GB"/>
        </w:rPr>
        <w:t>s</w:t>
      </w:r>
      <w:r w:rsidRPr="00A17D9B">
        <w:rPr>
          <w:rFonts w:ascii="Garamond" w:hAnsi="Garamond"/>
          <w:noProof/>
          <w:sz w:val="24"/>
          <w:szCs w:val="24"/>
          <w:lang w:val="en-GB"/>
        </w:rPr>
        <w:t>’ of goods or service</w:t>
      </w:r>
      <w:r w:rsidR="00383014" w:rsidRPr="00A17D9B">
        <w:rPr>
          <w:rFonts w:ascii="Garamond" w:hAnsi="Garamond"/>
          <w:noProof/>
          <w:sz w:val="24"/>
          <w:szCs w:val="24"/>
          <w:lang w:val="en-GB"/>
        </w:rPr>
        <w:t>s</w:t>
      </w:r>
      <w:r w:rsidRPr="00A17D9B">
        <w:rPr>
          <w:rFonts w:ascii="Garamond" w:hAnsi="Garamond"/>
          <w:noProof/>
          <w:sz w:val="24"/>
          <w:szCs w:val="24"/>
          <w:lang w:val="en-GB"/>
        </w:rPr>
        <w:t xml:space="preserve"> that are essentially ‘shared’ or ‘common’. Different approaches to development have advanced in this direction: social capital</w:t>
      </w:r>
      <w:r w:rsidR="00FD7CC8" w:rsidRPr="00A17D9B">
        <w:rPr>
          <w:rFonts w:ascii="Garamond" w:hAnsi="Garamond"/>
          <w:noProof/>
          <w:sz w:val="24"/>
          <w:szCs w:val="24"/>
          <w:lang w:val="en-GB"/>
        </w:rPr>
        <w:t xml:space="preserve"> (Putnam, 2000)</w:t>
      </w:r>
      <w:r w:rsidRPr="00A17D9B">
        <w:rPr>
          <w:rFonts w:ascii="Garamond" w:hAnsi="Garamond"/>
          <w:noProof/>
          <w:sz w:val="24"/>
          <w:szCs w:val="24"/>
          <w:lang w:val="en-GB"/>
        </w:rPr>
        <w:t>, public goods</w:t>
      </w:r>
      <w:r w:rsidR="00FD7CC8" w:rsidRPr="00A17D9B">
        <w:rPr>
          <w:rFonts w:ascii="Garamond" w:hAnsi="Garamond"/>
          <w:noProof/>
          <w:sz w:val="24"/>
          <w:szCs w:val="24"/>
          <w:lang w:val="en-GB"/>
        </w:rPr>
        <w:t xml:space="preserve"> (Kaul, Grunberg &amp; Stern, 1999)</w:t>
      </w:r>
      <w:r w:rsidRPr="00A17D9B">
        <w:rPr>
          <w:rFonts w:ascii="Garamond" w:hAnsi="Garamond"/>
          <w:noProof/>
          <w:sz w:val="24"/>
          <w:szCs w:val="24"/>
          <w:lang w:val="en-GB"/>
        </w:rPr>
        <w:t>, commons</w:t>
      </w:r>
      <w:r w:rsidR="00FD7CC8" w:rsidRPr="00A17D9B">
        <w:rPr>
          <w:rFonts w:ascii="Garamond" w:hAnsi="Garamond"/>
          <w:noProof/>
          <w:sz w:val="24"/>
          <w:szCs w:val="24"/>
          <w:lang w:val="en-GB"/>
        </w:rPr>
        <w:t xml:space="preserve"> (Ostrom, 1990)</w:t>
      </w:r>
      <w:r w:rsidRPr="00A17D9B">
        <w:rPr>
          <w:rFonts w:ascii="Garamond" w:hAnsi="Garamond"/>
          <w:noProof/>
          <w:sz w:val="24"/>
          <w:szCs w:val="24"/>
          <w:lang w:val="en-GB"/>
        </w:rPr>
        <w:t>, social rights</w:t>
      </w:r>
      <w:r w:rsidR="00FD7CC8" w:rsidRPr="00A17D9B">
        <w:rPr>
          <w:rFonts w:ascii="Garamond" w:hAnsi="Garamond"/>
          <w:noProof/>
          <w:sz w:val="24"/>
          <w:szCs w:val="24"/>
          <w:lang w:val="en-GB"/>
        </w:rPr>
        <w:t xml:space="preserve"> (Ulrike,</w:t>
      </w:r>
      <w:r w:rsidR="008B6C9C" w:rsidRPr="00A17D9B">
        <w:rPr>
          <w:rFonts w:ascii="Garamond" w:hAnsi="Garamond"/>
          <w:noProof/>
          <w:sz w:val="24"/>
          <w:szCs w:val="24"/>
          <w:lang w:val="en-GB"/>
        </w:rPr>
        <w:t xml:space="preserve"> 2013)</w:t>
      </w:r>
      <w:r w:rsidRPr="00A17D9B">
        <w:rPr>
          <w:rFonts w:ascii="Garamond" w:hAnsi="Garamond"/>
          <w:noProof/>
          <w:sz w:val="24"/>
          <w:szCs w:val="24"/>
          <w:lang w:val="en-GB"/>
        </w:rPr>
        <w:t>, collective capabilities</w:t>
      </w:r>
      <w:r w:rsidR="008B6C9C" w:rsidRPr="00A17D9B">
        <w:rPr>
          <w:rFonts w:ascii="Garamond" w:hAnsi="Garamond"/>
          <w:noProof/>
          <w:sz w:val="24"/>
          <w:szCs w:val="24"/>
          <w:lang w:val="en-GB"/>
        </w:rPr>
        <w:t xml:space="preserve"> (Ibrahim, 2016)</w:t>
      </w:r>
      <w:r w:rsidR="00383014" w:rsidRPr="00A17D9B">
        <w:rPr>
          <w:rFonts w:ascii="Garamond" w:hAnsi="Garamond"/>
          <w:noProof/>
          <w:sz w:val="24"/>
          <w:szCs w:val="24"/>
          <w:lang w:val="en-GB"/>
        </w:rPr>
        <w:t>, etc</w:t>
      </w:r>
      <w:r w:rsidRPr="00A17D9B">
        <w:rPr>
          <w:rFonts w:ascii="Garamond" w:hAnsi="Garamond"/>
          <w:noProof/>
          <w:sz w:val="24"/>
          <w:szCs w:val="24"/>
          <w:lang w:val="en-GB"/>
        </w:rPr>
        <w:t xml:space="preserve">. </w:t>
      </w:r>
    </w:p>
    <w:p w14:paraId="2ADA051B" w14:textId="204D2A3C" w:rsidR="00BA0BAF" w:rsidRPr="00A17D9B" w:rsidRDefault="00BA0BAF" w:rsidP="00F42315">
      <w:pPr>
        <w:jc w:val="both"/>
        <w:rPr>
          <w:rFonts w:ascii="Garamond" w:hAnsi="Garamond"/>
          <w:i/>
          <w:noProof/>
          <w:sz w:val="24"/>
          <w:szCs w:val="24"/>
          <w:lang w:val="en-GB"/>
        </w:rPr>
      </w:pPr>
      <w:r w:rsidRPr="00A17D9B">
        <w:rPr>
          <w:rFonts w:ascii="Garamond" w:hAnsi="Garamond"/>
          <w:noProof/>
          <w:sz w:val="24"/>
          <w:szCs w:val="24"/>
          <w:lang w:val="en-GB"/>
        </w:rPr>
        <w:t xml:space="preserve">A common good approach </w:t>
      </w:r>
      <w:r w:rsidR="008B6C9C" w:rsidRPr="00A17D9B">
        <w:rPr>
          <w:rFonts w:ascii="Garamond" w:hAnsi="Garamond"/>
          <w:noProof/>
          <w:sz w:val="24"/>
          <w:szCs w:val="24"/>
          <w:lang w:val="en-GB"/>
        </w:rPr>
        <w:t xml:space="preserve">to development </w:t>
      </w:r>
      <w:r w:rsidRPr="00A17D9B">
        <w:rPr>
          <w:rFonts w:ascii="Garamond" w:hAnsi="Garamond"/>
          <w:noProof/>
          <w:sz w:val="24"/>
          <w:szCs w:val="24"/>
          <w:lang w:val="en-GB"/>
        </w:rPr>
        <w:t xml:space="preserve">focuses precisely on groups or communities, concentrating on the </w:t>
      </w:r>
      <w:r w:rsidRPr="00A17D9B">
        <w:rPr>
          <w:rFonts w:ascii="Garamond" w:hAnsi="Garamond"/>
          <w:i/>
          <w:noProof/>
          <w:sz w:val="24"/>
          <w:szCs w:val="24"/>
          <w:lang w:val="en-GB"/>
        </w:rPr>
        <w:t xml:space="preserve">processes </w:t>
      </w:r>
      <w:r w:rsidRPr="00A17D9B">
        <w:rPr>
          <w:rFonts w:ascii="Garamond" w:hAnsi="Garamond"/>
          <w:noProof/>
          <w:sz w:val="24"/>
          <w:szCs w:val="24"/>
          <w:lang w:val="en-GB"/>
        </w:rPr>
        <w:t xml:space="preserve">through which they </w:t>
      </w:r>
      <w:r w:rsidR="008B6C9C" w:rsidRPr="00A17D9B">
        <w:rPr>
          <w:rFonts w:ascii="Garamond" w:hAnsi="Garamond"/>
          <w:noProof/>
          <w:sz w:val="24"/>
          <w:szCs w:val="24"/>
          <w:lang w:val="en-GB"/>
        </w:rPr>
        <w:t xml:space="preserve">value, </w:t>
      </w:r>
      <w:r w:rsidRPr="00A17D9B">
        <w:rPr>
          <w:rFonts w:ascii="Garamond" w:hAnsi="Garamond"/>
          <w:noProof/>
          <w:sz w:val="24"/>
          <w:szCs w:val="24"/>
          <w:lang w:val="en-GB"/>
        </w:rPr>
        <w:t xml:space="preserve">create and </w:t>
      </w:r>
      <w:r w:rsidR="008B6C9C" w:rsidRPr="00A17D9B">
        <w:rPr>
          <w:rFonts w:ascii="Garamond" w:hAnsi="Garamond"/>
          <w:noProof/>
          <w:sz w:val="24"/>
          <w:szCs w:val="24"/>
          <w:lang w:val="en-GB"/>
        </w:rPr>
        <w:t xml:space="preserve">govern </w:t>
      </w:r>
      <w:r w:rsidRPr="00A17D9B">
        <w:rPr>
          <w:rFonts w:ascii="Garamond" w:hAnsi="Garamond"/>
          <w:noProof/>
          <w:sz w:val="24"/>
          <w:szCs w:val="24"/>
          <w:lang w:val="en-GB"/>
        </w:rPr>
        <w:t xml:space="preserve">a specific set of social </w:t>
      </w:r>
      <w:r w:rsidRPr="00A17D9B">
        <w:rPr>
          <w:rFonts w:ascii="Garamond" w:hAnsi="Garamond"/>
          <w:noProof/>
          <w:sz w:val="24"/>
          <w:szCs w:val="24"/>
          <w:lang w:val="en-GB"/>
        </w:rPr>
        <w:lastRenderedPageBreak/>
        <w:t>goods</w:t>
      </w:r>
      <w:r w:rsidR="003E4135" w:rsidRPr="00A17D9B">
        <w:rPr>
          <w:rFonts w:ascii="Garamond" w:hAnsi="Garamond"/>
          <w:noProof/>
          <w:sz w:val="24"/>
          <w:szCs w:val="24"/>
          <w:lang w:val="en-GB"/>
        </w:rPr>
        <w:t>. Commons refer and are embedded in commoning practice (De Angelis &amp; Harvie 2013)</w:t>
      </w:r>
      <w:r w:rsidR="00383014" w:rsidRPr="00A17D9B">
        <w:rPr>
          <w:rFonts w:ascii="Garamond" w:hAnsi="Garamond"/>
          <w:noProof/>
          <w:sz w:val="24"/>
          <w:szCs w:val="24"/>
          <w:lang w:val="en-GB"/>
        </w:rPr>
        <w:t>. T</w:t>
      </w:r>
      <w:r w:rsidRPr="00A17D9B">
        <w:rPr>
          <w:rFonts w:ascii="Garamond" w:hAnsi="Garamond"/>
          <w:noProof/>
          <w:sz w:val="24"/>
          <w:szCs w:val="24"/>
          <w:lang w:val="en-GB"/>
        </w:rPr>
        <w:t>hese goods</w:t>
      </w:r>
      <w:r w:rsidR="00383014" w:rsidRPr="00A17D9B">
        <w:rPr>
          <w:rFonts w:ascii="Garamond" w:hAnsi="Garamond"/>
          <w:noProof/>
          <w:sz w:val="24"/>
          <w:szCs w:val="24"/>
          <w:lang w:val="en-GB"/>
        </w:rPr>
        <w:t xml:space="preserve"> are understood</w:t>
      </w:r>
      <w:r w:rsidRPr="00A17D9B">
        <w:rPr>
          <w:rFonts w:ascii="Garamond" w:hAnsi="Garamond"/>
          <w:noProof/>
          <w:sz w:val="24"/>
          <w:szCs w:val="24"/>
          <w:lang w:val="en-GB"/>
        </w:rPr>
        <w:t xml:space="preserve"> as </w:t>
      </w:r>
      <w:r w:rsidRPr="00A17D9B">
        <w:rPr>
          <w:rFonts w:ascii="Garamond" w:hAnsi="Garamond"/>
          <w:i/>
          <w:noProof/>
          <w:sz w:val="24"/>
          <w:szCs w:val="24"/>
          <w:lang w:val="en-GB"/>
        </w:rPr>
        <w:t xml:space="preserve">irreducible social goods, </w:t>
      </w:r>
      <w:r w:rsidRPr="00A17D9B">
        <w:rPr>
          <w:rFonts w:ascii="Garamond" w:hAnsi="Garamond"/>
          <w:noProof/>
          <w:sz w:val="24"/>
          <w:szCs w:val="24"/>
          <w:lang w:val="en-GB"/>
        </w:rPr>
        <w:t>i.e</w:t>
      </w:r>
      <w:r w:rsidR="008B6C9C" w:rsidRPr="00A17D9B">
        <w:rPr>
          <w:rFonts w:ascii="Garamond" w:hAnsi="Garamond"/>
          <w:noProof/>
          <w:sz w:val="24"/>
          <w:szCs w:val="24"/>
          <w:lang w:val="en-GB"/>
        </w:rPr>
        <w:t>.</w:t>
      </w:r>
      <w:r w:rsidRPr="00A17D9B">
        <w:rPr>
          <w:rFonts w:ascii="Garamond" w:hAnsi="Garamond"/>
          <w:noProof/>
          <w:sz w:val="24"/>
          <w:szCs w:val="24"/>
          <w:lang w:val="en-GB"/>
        </w:rPr>
        <w:t xml:space="preserve"> goods ‘build on’ and ‘embedded in’ relationships. As Taylor</w:t>
      </w:r>
      <w:r w:rsidR="008B6C9C" w:rsidRPr="00A17D9B">
        <w:rPr>
          <w:rFonts w:ascii="Garamond" w:hAnsi="Garamond"/>
          <w:noProof/>
          <w:sz w:val="24"/>
          <w:szCs w:val="24"/>
          <w:lang w:val="en-GB"/>
        </w:rPr>
        <w:t xml:space="preserve"> (1995)</w:t>
      </w:r>
      <w:r w:rsidRPr="00A17D9B">
        <w:rPr>
          <w:rFonts w:ascii="Garamond" w:hAnsi="Garamond"/>
          <w:noProof/>
          <w:sz w:val="24"/>
          <w:szCs w:val="24"/>
          <w:lang w:val="en-GB"/>
        </w:rPr>
        <w:t xml:space="preserve"> argues, good</w:t>
      </w:r>
      <w:r w:rsidR="00F42315" w:rsidRPr="00A17D9B">
        <w:rPr>
          <w:rFonts w:ascii="Garamond" w:hAnsi="Garamond"/>
          <w:noProof/>
          <w:sz w:val="24"/>
          <w:szCs w:val="24"/>
          <w:lang w:val="en-GB"/>
        </w:rPr>
        <w:t>s</w:t>
      </w:r>
      <w:r w:rsidRPr="00A17D9B">
        <w:rPr>
          <w:rFonts w:ascii="Garamond" w:hAnsi="Garamond"/>
          <w:noProof/>
          <w:sz w:val="24"/>
          <w:szCs w:val="24"/>
          <w:lang w:val="en-GB"/>
        </w:rPr>
        <w:t xml:space="preserve"> that are immanent to the </w:t>
      </w:r>
      <w:r w:rsidRPr="00A17D9B">
        <w:rPr>
          <w:rFonts w:ascii="Garamond" w:hAnsi="Garamond"/>
          <w:i/>
          <w:noProof/>
          <w:sz w:val="24"/>
          <w:szCs w:val="24"/>
          <w:lang w:val="en-GB"/>
        </w:rPr>
        <w:t>cooperation</w:t>
      </w:r>
      <w:r w:rsidRPr="00A17D9B">
        <w:rPr>
          <w:rFonts w:ascii="Garamond" w:hAnsi="Garamond"/>
          <w:noProof/>
          <w:sz w:val="24"/>
          <w:szCs w:val="24"/>
          <w:lang w:val="en-GB"/>
        </w:rPr>
        <w:t xml:space="preserve"> of people in a community; immanent to </w:t>
      </w:r>
      <w:r w:rsidRPr="00A17D9B">
        <w:rPr>
          <w:rFonts w:ascii="Garamond" w:hAnsi="Garamond"/>
          <w:i/>
          <w:noProof/>
          <w:sz w:val="24"/>
          <w:szCs w:val="24"/>
          <w:lang w:val="en-GB"/>
        </w:rPr>
        <w:t>collective organization</w:t>
      </w:r>
      <w:r w:rsidRPr="00A17D9B">
        <w:rPr>
          <w:rFonts w:ascii="Garamond" w:hAnsi="Garamond"/>
          <w:noProof/>
          <w:sz w:val="24"/>
          <w:szCs w:val="24"/>
          <w:lang w:val="en-GB"/>
        </w:rPr>
        <w:t xml:space="preserve"> that allows the achievement of a social good; </w:t>
      </w:r>
      <w:r w:rsidR="009302AE" w:rsidRPr="00A17D9B">
        <w:rPr>
          <w:rFonts w:ascii="Garamond" w:hAnsi="Garamond"/>
          <w:noProof/>
          <w:sz w:val="24"/>
          <w:szCs w:val="24"/>
          <w:lang w:val="en-GB"/>
        </w:rPr>
        <w:t xml:space="preserve">and </w:t>
      </w:r>
      <w:r w:rsidRPr="00A17D9B">
        <w:rPr>
          <w:rFonts w:ascii="Garamond" w:hAnsi="Garamond"/>
          <w:noProof/>
          <w:sz w:val="24"/>
          <w:szCs w:val="24"/>
          <w:lang w:val="en-GB"/>
        </w:rPr>
        <w:t xml:space="preserve">immanent to the </w:t>
      </w:r>
      <w:r w:rsidRPr="00A17D9B">
        <w:rPr>
          <w:rFonts w:ascii="Garamond" w:hAnsi="Garamond"/>
          <w:i/>
          <w:noProof/>
          <w:sz w:val="24"/>
          <w:szCs w:val="24"/>
          <w:lang w:val="en-GB"/>
        </w:rPr>
        <w:t xml:space="preserve">shared understanding </w:t>
      </w:r>
      <w:r w:rsidRPr="00A17D9B">
        <w:rPr>
          <w:rFonts w:ascii="Garamond" w:hAnsi="Garamond"/>
          <w:noProof/>
          <w:sz w:val="24"/>
          <w:szCs w:val="24"/>
          <w:lang w:val="en-GB"/>
        </w:rPr>
        <w:t>of their value</w:t>
      </w:r>
      <w:r w:rsidR="008B6C9C" w:rsidRPr="00A17D9B">
        <w:rPr>
          <w:rFonts w:ascii="Garamond" w:hAnsi="Garamond"/>
          <w:noProof/>
          <w:sz w:val="24"/>
          <w:szCs w:val="24"/>
          <w:vertAlign w:val="superscript"/>
          <w:lang w:val="en-GB"/>
        </w:rPr>
        <w:footnoteReference w:id="4"/>
      </w:r>
      <w:r w:rsidRPr="00A17D9B">
        <w:rPr>
          <w:rFonts w:ascii="Garamond" w:hAnsi="Garamond"/>
          <w:noProof/>
          <w:sz w:val="24"/>
          <w:szCs w:val="24"/>
          <w:lang w:val="en-GB"/>
        </w:rPr>
        <w:t>. While a common good approach recognizes the need and value of individual based indicators</w:t>
      </w:r>
      <w:r w:rsidR="009302AE" w:rsidRPr="00A17D9B">
        <w:rPr>
          <w:rFonts w:ascii="Garamond" w:hAnsi="Garamond"/>
          <w:noProof/>
          <w:sz w:val="24"/>
          <w:szCs w:val="24"/>
          <w:lang w:val="en-GB"/>
        </w:rPr>
        <w:t>,</w:t>
      </w:r>
      <w:r w:rsidRPr="00A17D9B">
        <w:rPr>
          <w:rFonts w:ascii="Garamond" w:hAnsi="Garamond"/>
          <w:noProof/>
          <w:sz w:val="24"/>
          <w:szCs w:val="24"/>
          <w:lang w:val="en-GB"/>
        </w:rPr>
        <w:t xml:space="preserve"> it contends that they may fully explain the social processes involved in development. A common good pers</w:t>
      </w:r>
      <w:r w:rsidR="009302AE" w:rsidRPr="00A17D9B">
        <w:rPr>
          <w:rFonts w:ascii="Garamond" w:hAnsi="Garamond"/>
          <w:noProof/>
          <w:sz w:val="24"/>
          <w:szCs w:val="24"/>
          <w:lang w:val="en-GB"/>
        </w:rPr>
        <w:t>pective adopts the view</w:t>
      </w:r>
      <w:r w:rsidRPr="00A17D9B">
        <w:rPr>
          <w:rFonts w:ascii="Garamond" w:hAnsi="Garamond"/>
          <w:noProof/>
          <w:sz w:val="24"/>
          <w:szCs w:val="24"/>
          <w:lang w:val="en-GB"/>
        </w:rPr>
        <w:t xml:space="preserve"> that development is not first and foremost a matter of individuals but of groups, communities or nations. It seems then that describing and measuring the processes through which a community achieves </w:t>
      </w:r>
      <w:r w:rsidR="008B6C9C" w:rsidRPr="00A17D9B">
        <w:rPr>
          <w:rFonts w:ascii="Garamond" w:hAnsi="Garamond"/>
          <w:noProof/>
          <w:sz w:val="24"/>
          <w:szCs w:val="24"/>
          <w:lang w:val="en-GB"/>
        </w:rPr>
        <w:t xml:space="preserve">a network of </w:t>
      </w:r>
      <w:r w:rsidRPr="00A17D9B">
        <w:rPr>
          <w:rFonts w:ascii="Garamond" w:hAnsi="Garamond"/>
          <w:noProof/>
          <w:sz w:val="24"/>
          <w:szCs w:val="24"/>
          <w:lang w:val="en-GB"/>
        </w:rPr>
        <w:t>common goods</w:t>
      </w:r>
      <w:r w:rsidRPr="00A17D9B">
        <w:rPr>
          <w:rFonts w:ascii="Garamond" w:hAnsi="Garamond"/>
          <w:smallCaps/>
          <w:noProof/>
          <w:sz w:val="24"/>
          <w:szCs w:val="24"/>
          <w:lang w:val="en-GB"/>
        </w:rPr>
        <w:t xml:space="preserve"> </w:t>
      </w:r>
      <w:r w:rsidRPr="00A17D9B">
        <w:rPr>
          <w:rFonts w:ascii="Garamond" w:hAnsi="Garamond"/>
          <w:noProof/>
          <w:sz w:val="24"/>
          <w:szCs w:val="24"/>
          <w:lang w:val="en-GB"/>
        </w:rPr>
        <w:t>may be relevant to understand development topics.</w:t>
      </w:r>
    </w:p>
    <w:p w14:paraId="09029469" w14:textId="1FA4D3E8" w:rsidR="00BA0BAF" w:rsidRPr="00A17D9B" w:rsidRDefault="00BA0BAF" w:rsidP="00F42315">
      <w:pPr>
        <w:jc w:val="both"/>
        <w:rPr>
          <w:rFonts w:ascii="Garamond" w:eastAsia="Garamond" w:hAnsi="Garamond" w:cs="Garamond"/>
          <w:noProof/>
          <w:sz w:val="24"/>
          <w:szCs w:val="24"/>
          <w:lang w:val="en-GB"/>
        </w:rPr>
      </w:pPr>
      <w:r w:rsidRPr="00A17D9B">
        <w:rPr>
          <w:rFonts w:ascii="Garamond" w:eastAsia="Garamond" w:hAnsi="Garamond" w:cs="Garamond"/>
          <w:noProof/>
          <w:sz w:val="24"/>
          <w:szCs w:val="24"/>
          <w:lang w:val="en-GB"/>
        </w:rPr>
        <w:t>Now there is no shortage of metrics that try to measure development as well-being</w:t>
      </w:r>
      <w:r w:rsidR="008E7DA9" w:rsidRPr="00A17D9B">
        <w:rPr>
          <w:rFonts w:ascii="Garamond" w:eastAsia="Garamond" w:hAnsi="Garamond" w:cs="Garamond"/>
          <w:noProof/>
          <w:sz w:val="24"/>
          <w:szCs w:val="24"/>
          <w:lang w:val="en-GB"/>
        </w:rPr>
        <w:t xml:space="preserve"> or happines (</w:t>
      </w:r>
      <w:r w:rsidR="00091867" w:rsidRPr="00A17D9B">
        <w:rPr>
          <w:rFonts w:ascii="Garamond" w:eastAsia="Garamond" w:hAnsi="Garamond" w:cs="Garamond"/>
          <w:noProof/>
          <w:sz w:val="24"/>
          <w:szCs w:val="24"/>
          <w:lang w:val="en-GB"/>
        </w:rPr>
        <w:t>Human Development Index</w:t>
      </w:r>
      <w:r w:rsidR="008E7DA9" w:rsidRPr="00A17D9B">
        <w:rPr>
          <w:rFonts w:ascii="Garamond" w:eastAsia="Garamond" w:hAnsi="Garamond" w:cs="Garamond"/>
          <w:noProof/>
          <w:sz w:val="24"/>
          <w:szCs w:val="24"/>
          <w:lang w:val="en-GB"/>
        </w:rPr>
        <w:t xml:space="preserve">, </w:t>
      </w:r>
      <w:r w:rsidR="00091867" w:rsidRPr="00A17D9B">
        <w:rPr>
          <w:rFonts w:ascii="Garamond" w:eastAsia="Garamond" w:hAnsi="Garamond" w:cs="Garamond"/>
          <w:noProof/>
          <w:sz w:val="24"/>
          <w:szCs w:val="24"/>
          <w:lang w:val="en-GB"/>
        </w:rPr>
        <w:t xml:space="preserve">World Happiness Report, </w:t>
      </w:r>
      <w:r w:rsidR="008E7DA9" w:rsidRPr="00A17D9B">
        <w:rPr>
          <w:rFonts w:ascii="Garamond" w:eastAsia="Garamond" w:hAnsi="Garamond" w:cs="Garamond"/>
          <w:noProof/>
          <w:sz w:val="24"/>
          <w:szCs w:val="24"/>
          <w:lang w:val="en-GB"/>
        </w:rPr>
        <w:t xml:space="preserve">, </w:t>
      </w:r>
      <w:r w:rsidRPr="00A17D9B">
        <w:rPr>
          <w:rFonts w:ascii="Garamond" w:eastAsia="Garamond" w:hAnsi="Garamond" w:cs="Garamond"/>
          <w:noProof/>
          <w:sz w:val="24"/>
          <w:szCs w:val="24"/>
          <w:lang w:val="en-GB"/>
        </w:rPr>
        <w:t xml:space="preserve">. Most summarize development through a list of items for which they provide indicators and metrics. It may be basic needs, human security, lists of capabilities, human rights or either selected features of human flourishing. But most of them focus on either </w:t>
      </w:r>
      <w:r w:rsidRPr="00A17D9B">
        <w:rPr>
          <w:rFonts w:ascii="Garamond" w:eastAsia="Garamond" w:hAnsi="Garamond" w:cs="Garamond"/>
          <w:i/>
          <w:iCs/>
          <w:noProof/>
          <w:sz w:val="24"/>
          <w:szCs w:val="24"/>
          <w:lang w:val="en-GB"/>
        </w:rPr>
        <w:t>pre</w:t>
      </w:r>
      <w:r w:rsidRPr="00A17D9B">
        <w:rPr>
          <w:rFonts w:ascii="Garamond" w:eastAsia="Garamond" w:hAnsi="Garamond" w:cs="Garamond"/>
          <w:i/>
          <w:noProof/>
          <w:sz w:val="24"/>
          <w:szCs w:val="24"/>
          <w:lang w:val="en-GB"/>
        </w:rPr>
        <w:t>conditions</w:t>
      </w:r>
      <w:r w:rsidRPr="00A17D9B">
        <w:rPr>
          <w:rFonts w:ascii="Garamond" w:eastAsia="Garamond" w:hAnsi="Garamond" w:cs="Garamond"/>
          <w:noProof/>
          <w:sz w:val="24"/>
          <w:szCs w:val="24"/>
          <w:lang w:val="en-GB"/>
        </w:rPr>
        <w:t xml:space="preserve"> for well-being development or a selected set of </w:t>
      </w:r>
      <w:r w:rsidRPr="00A17D9B">
        <w:rPr>
          <w:rFonts w:ascii="Garamond" w:eastAsia="Garamond" w:hAnsi="Garamond" w:cs="Garamond"/>
          <w:i/>
          <w:noProof/>
          <w:sz w:val="24"/>
          <w:szCs w:val="24"/>
          <w:lang w:val="en-GB"/>
        </w:rPr>
        <w:t>achievements</w:t>
      </w:r>
      <w:r w:rsidRPr="00A17D9B">
        <w:rPr>
          <w:rFonts w:ascii="Garamond" w:eastAsia="Garamond" w:hAnsi="Garamond" w:cs="Garamond"/>
          <w:noProof/>
          <w:sz w:val="24"/>
          <w:szCs w:val="24"/>
          <w:lang w:val="en-GB"/>
        </w:rPr>
        <w:t xml:space="preserve"> or </w:t>
      </w:r>
      <w:r w:rsidRPr="00A17D9B">
        <w:rPr>
          <w:rFonts w:ascii="Garamond" w:eastAsia="Garamond" w:hAnsi="Garamond" w:cs="Garamond"/>
          <w:i/>
          <w:noProof/>
          <w:sz w:val="24"/>
          <w:szCs w:val="24"/>
          <w:lang w:val="en-GB"/>
        </w:rPr>
        <w:t>functionings</w:t>
      </w:r>
      <w:r w:rsidRPr="00A17D9B">
        <w:rPr>
          <w:rFonts w:ascii="Garamond" w:eastAsia="Garamond" w:hAnsi="Garamond" w:cs="Garamond"/>
          <w:noProof/>
          <w:sz w:val="24"/>
          <w:szCs w:val="24"/>
          <w:lang w:val="en-GB"/>
        </w:rPr>
        <w:t xml:space="preserve">. Our approach is different. We focus on </w:t>
      </w:r>
      <w:r w:rsidRPr="00A17D9B">
        <w:rPr>
          <w:rFonts w:ascii="Garamond" w:eastAsia="Garamond" w:hAnsi="Garamond" w:cs="Garamond"/>
          <w:i/>
          <w:noProof/>
          <w:sz w:val="24"/>
          <w:szCs w:val="24"/>
          <w:lang w:val="en-GB"/>
        </w:rPr>
        <w:t>commons</w:t>
      </w:r>
      <w:r w:rsidRPr="00A17D9B">
        <w:rPr>
          <w:rFonts w:ascii="Garamond" w:eastAsia="Garamond" w:hAnsi="Garamond" w:cs="Garamond"/>
          <w:noProof/>
          <w:sz w:val="24"/>
          <w:szCs w:val="24"/>
          <w:lang w:val="en-GB"/>
        </w:rPr>
        <w:t xml:space="preserve"> and the </w:t>
      </w:r>
      <w:r w:rsidR="00B672C5" w:rsidRPr="00A17D9B">
        <w:rPr>
          <w:rFonts w:ascii="Garamond" w:eastAsia="Garamond" w:hAnsi="Garamond" w:cs="Garamond"/>
          <w:i/>
          <w:noProof/>
          <w:sz w:val="24"/>
          <w:szCs w:val="24"/>
          <w:lang w:val="en-GB"/>
        </w:rPr>
        <w:t>processes</w:t>
      </w:r>
      <w:r w:rsidRPr="00A17D9B">
        <w:rPr>
          <w:rFonts w:ascii="Garamond" w:eastAsia="Garamond" w:hAnsi="Garamond" w:cs="Garamond"/>
          <w:noProof/>
          <w:sz w:val="24"/>
          <w:szCs w:val="24"/>
          <w:lang w:val="en-GB"/>
        </w:rPr>
        <w:t xml:space="preserve"> by which these build up in society to create a </w:t>
      </w:r>
      <w:r w:rsidRPr="00A17D9B">
        <w:rPr>
          <w:rFonts w:ascii="Garamond" w:eastAsia="Garamond" w:hAnsi="Garamond" w:cs="Garamond"/>
          <w:i/>
          <w:iCs/>
          <w:noProof/>
          <w:sz w:val="24"/>
          <w:szCs w:val="24"/>
          <w:lang w:val="en-GB"/>
        </w:rPr>
        <w:t>nexus</w:t>
      </w:r>
      <w:r w:rsidR="000C728F" w:rsidRPr="00A17D9B">
        <w:rPr>
          <w:rFonts w:ascii="Garamond" w:eastAsia="Garamond" w:hAnsi="Garamond" w:cs="Garamond"/>
          <w:i/>
          <w:iCs/>
          <w:noProof/>
          <w:sz w:val="24"/>
          <w:szCs w:val="24"/>
          <w:lang w:val="en-GB"/>
        </w:rPr>
        <w:t>-</w:t>
      </w:r>
      <w:r w:rsidRPr="00A17D9B">
        <w:rPr>
          <w:rFonts w:ascii="Garamond" w:eastAsia="Garamond" w:hAnsi="Garamond" w:cs="Garamond"/>
          <w:i/>
          <w:iCs/>
          <w:noProof/>
          <w:sz w:val="24"/>
          <w:szCs w:val="24"/>
          <w:lang w:val="en-GB"/>
        </w:rPr>
        <w:t>of</w:t>
      </w:r>
      <w:r w:rsidR="000C728F" w:rsidRPr="00A17D9B">
        <w:rPr>
          <w:rFonts w:ascii="Garamond" w:eastAsia="Garamond" w:hAnsi="Garamond" w:cs="Garamond"/>
          <w:i/>
          <w:iCs/>
          <w:noProof/>
          <w:sz w:val="24"/>
          <w:szCs w:val="24"/>
          <w:lang w:val="en-GB"/>
        </w:rPr>
        <w:t>-</w:t>
      </w:r>
      <w:r w:rsidRPr="00A17D9B">
        <w:rPr>
          <w:rFonts w:ascii="Garamond" w:eastAsia="Garamond" w:hAnsi="Garamond" w:cs="Garamond"/>
          <w:i/>
          <w:iCs/>
          <w:noProof/>
          <w:sz w:val="24"/>
          <w:szCs w:val="24"/>
          <w:lang w:val="en-GB"/>
        </w:rPr>
        <w:t>commons</w:t>
      </w:r>
      <w:r w:rsidR="00B672C5" w:rsidRPr="00A17D9B">
        <w:rPr>
          <w:rFonts w:ascii="Garamond" w:eastAsia="Garamond" w:hAnsi="Garamond" w:cs="Garamond"/>
          <w:noProof/>
          <w:sz w:val="24"/>
          <w:szCs w:val="24"/>
          <w:lang w:val="en-GB"/>
        </w:rPr>
        <w:t>, that is a system of common goods</w:t>
      </w:r>
      <w:r w:rsidRPr="00A17D9B">
        <w:rPr>
          <w:rFonts w:ascii="Garamond" w:eastAsia="Garamond" w:hAnsi="Garamond" w:cs="Garamond"/>
          <w:noProof/>
          <w:sz w:val="24"/>
          <w:szCs w:val="24"/>
          <w:lang w:val="en-GB"/>
        </w:rPr>
        <w:t xml:space="preserve">. By concentrating on </w:t>
      </w:r>
      <w:r w:rsidR="00B672C5" w:rsidRPr="00A17D9B">
        <w:rPr>
          <w:rFonts w:ascii="Garamond" w:eastAsia="Garamond" w:hAnsi="Garamond" w:cs="Garamond"/>
          <w:noProof/>
          <w:sz w:val="24"/>
          <w:szCs w:val="24"/>
          <w:lang w:val="en-GB"/>
        </w:rPr>
        <w:t>these</w:t>
      </w:r>
      <w:r w:rsidRPr="00A17D9B">
        <w:rPr>
          <w:rFonts w:ascii="Garamond" w:eastAsia="Garamond" w:hAnsi="Garamond" w:cs="Garamond"/>
          <w:noProof/>
          <w:sz w:val="24"/>
          <w:szCs w:val="24"/>
          <w:lang w:val="en-GB"/>
        </w:rPr>
        <w:t xml:space="preserve"> dynamic</w:t>
      </w:r>
      <w:r w:rsidR="00B672C5" w:rsidRPr="00A17D9B">
        <w:rPr>
          <w:rFonts w:ascii="Garamond" w:eastAsia="Garamond" w:hAnsi="Garamond" w:cs="Garamond"/>
          <w:noProof/>
          <w:sz w:val="24"/>
          <w:szCs w:val="24"/>
          <w:lang w:val="en-GB"/>
        </w:rPr>
        <w:t>s</w:t>
      </w:r>
      <w:r w:rsidRPr="00A17D9B">
        <w:rPr>
          <w:rFonts w:ascii="Garamond" w:eastAsia="Garamond" w:hAnsi="Garamond" w:cs="Garamond"/>
          <w:noProof/>
          <w:sz w:val="24"/>
          <w:szCs w:val="24"/>
          <w:lang w:val="en-GB"/>
        </w:rPr>
        <w:t xml:space="preserve">, our aim changes. We will be looking for the </w:t>
      </w:r>
      <w:r w:rsidRPr="00A17D9B">
        <w:rPr>
          <w:rFonts w:ascii="Garamond" w:eastAsia="Garamond" w:hAnsi="Garamond" w:cs="Garamond"/>
          <w:i/>
          <w:noProof/>
          <w:sz w:val="24"/>
          <w:szCs w:val="24"/>
          <w:lang w:val="en-GB"/>
        </w:rPr>
        <w:t>drivers</w:t>
      </w:r>
      <w:r w:rsidRPr="00A17D9B">
        <w:rPr>
          <w:rFonts w:ascii="Garamond" w:eastAsia="Garamond" w:hAnsi="Garamond" w:cs="Garamond"/>
          <w:noProof/>
          <w:sz w:val="24"/>
          <w:szCs w:val="24"/>
          <w:lang w:val="en-GB"/>
        </w:rPr>
        <w:t xml:space="preserve"> of this dynamic and for a </w:t>
      </w:r>
      <w:r w:rsidRPr="00A17D9B">
        <w:rPr>
          <w:rFonts w:ascii="Garamond" w:eastAsia="Garamond" w:hAnsi="Garamond" w:cs="Garamond"/>
          <w:i/>
          <w:noProof/>
          <w:sz w:val="24"/>
          <w:szCs w:val="24"/>
          <w:lang w:val="en-GB"/>
        </w:rPr>
        <w:t>normative horiz</w:t>
      </w:r>
      <w:r w:rsidR="00FC030B" w:rsidRPr="00A17D9B">
        <w:rPr>
          <w:rFonts w:ascii="Garamond" w:eastAsia="Garamond" w:hAnsi="Garamond" w:cs="Garamond"/>
          <w:i/>
          <w:noProof/>
          <w:sz w:val="24"/>
          <w:szCs w:val="24"/>
          <w:lang w:val="en-GB"/>
        </w:rPr>
        <w:t>on</w:t>
      </w:r>
      <w:r w:rsidRPr="00A17D9B">
        <w:rPr>
          <w:rFonts w:ascii="Garamond" w:eastAsia="Garamond" w:hAnsi="Garamond" w:cs="Garamond"/>
          <w:noProof/>
          <w:sz w:val="24"/>
          <w:szCs w:val="24"/>
          <w:lang w:val="en-GB"/>
        </w:rPr>
        <w:t xml:space="preserve"> </w:t>
      </w:r>
      <w:r w:rsidR="00FC030B" w:rsidRPr="00A17D9B">
        <w:rPr>
          <w:rFonts w:ascii="Garamond" w:eastAsia="Garamond" w:hAnsi="Garamond" w:cs="Garamond"/>
          <w:noProof/>
          <w:sz w:val="24"/>
          <w:szCs w:val="24"/>
          <w:lang w:val="en-GB"/>
        </w:rPr>
        <w:t>(Ricoeur, 2001)</w:t>
      </w:r>
      <w:r w:rsidRPr="00A17D9B">
        <w:rPr>
          <w:rFonts w:ascii="Garamond" w:eastAsia="Garamond" w:hAnsi="Garamond" w:cs="Garamond"/>
          <w:noProof/>
          <w:sz w:val="24"/>
          <w:szCs w:val="24"/>
          <w:lang w:val="en-GB"/>
        </w:rPr>
        <w:t>– a North Pole – by which we may judge the quality of a nexu</w:t>
      </w:r>
      <w:r w:rsidR="009302AE" w:rsidRPr="00A17D9B">
        <w:rPr>
          <w:rFonts w:ascii="Garamond" w:eastAsia="Garamond" w:hAnsi="Garamond" w:cs="Garamond"/>
          <w:noProof/>
          <w:sz w:val="24"/>
          <w:szCs w:val="24"/>
          <w:lang w:val="en-GB"/>
        </w:rPr>
        <w:t>s’ dynamic. We will argue, using</w:t>
      </w:r>
      <w:r w:rsidRPr="00A17D9B">
        <w:rPr>
          <w:rFonts w:ascii="Garamond" w:eastAsia="Garamond" w:hAnsi="Garamond" w:cs="Garamond"/>
          <w:noProof/>
          <w:sz w:val="24"/>
          <w:szCs w:val="24"/>
          <w:lang w:val="en-GB"/>
        </w:rPr>
        <w:t xml:space="preserve"> the literature on commons</w:t>
      </w:r>
      <w:r w:rsidR="00B672C5" w:rsidRPr="00A17D9B">
        <w:rPr>
          <w:rFonts w:ascii="Garamond" w:eastAsia="Garamond" w:hAnsi="Garamond" w:cs="Garamond"/>
          <w:noProof/>
          <w:sz w:val="24"/>
          <w:szCs w:val="24"/>
          <w:lang w:val="en-GB"/>
        </w:rPr>
        <w:t xml:space="preserve"> (Ostrom, 1990, 2009; Van Laerhoven &amp; Berge, 2011; De Angelis &amp; Harvie, 2013</w:t>
      </w:r>
      <w:r w:rsidR="00F14CB4" w:rsidRPr="00A17D9B">
        <w:rPr>
          <w:rFonts w:ascii="Garamond" w:eastAsia="Garamond" w:hAnsi="Garamond" w:cs="Garamond"/>
          <w:noProof/>
          <w:sz w:val="24"/>
          <w:szCs w:val="24"/>
          <w:lang w:val="en-GB"/>
        </w:rPr>
        <w:t>; Euler, 2018</w:t>
      </w:r>
      <w:r w:rsidR="00B672C5" w:rsidRPr="00A17D9B">
        <w:rPr>
          <w:rFonts w:ascii="Garamond" w:eastAsia="Garamond" w:hAnsi="Garamond" w:cs="Garamond"/>
          <w:noProof/>
          <w:sz w:val="24"/>
          <w:szCs w:val="24"/>
          <w:lang w:val="en-GB"/>
        </w:rPr>
        <w:t>)</w:t>
      </w:r>
      <w:r w:rsidRPr="00A17D9B">
        <w:rPr>
          <w:rFonts w:ascii="Garamond" w:eastAsia="Garamond" w:hAnsi="Garamond" w:cs="Garamond"/>
          <w:noProof/>
          <w:sz w:val="24"/>
          <w:szCs w:val="24"/>
          <w:lang w:val="en-GB"/>
        </w:rPr>
        <w:t xml:space="preserve">, that </w:t>
      </w:r>
      <w:r w:rsidRPr="00A17D9B">
        <w:rPr>
          <w:rFonts w:ascii="Garamond" w:eastAsia="Garamond" w:hAnsi="Garamond" w:cs="Garamond"/>
          <w:i/>
          <w:noProof/>
          <w:sz w:val="24"/>
          <w:szCs w:val="24"/>
          <w:lang w:val="en-GB"/>
        </w:rPr>
        <w:t>drivers</w:t>
      </w:r>
      <w:r w:rsidR="009302AE" w:rsidRPr="00A17D9B">
        <w:rPr>
          <w:rFonts w:ascii="Garamond" w:eastAsia="Garamond" w:hAnsi="Garamond" w:cs="Garamond"/>
          <w:noProof/>
          <w:sz w:val="24"/>
          <w:szCs w:val="24"/>
          <w:lang w:val="en-GB"/>
        </w:rPr>
        <w:t xml:space="preserve"> must include collective </w:t>
      </w:r>
      <w:r w:rsidRPr="00A17D9B">
        <w:rPr>
          <w:rFonts w:ascii="Garamond" w:eastAsia="Garamond" w:hAnsi="Garamond" w:cs="Garamond"/>
          <w:noProof/>
          <w:sz w:val="24"/>
          <w:szCs w:val="24"/>
          <w:lang w:val="en-GB"/>
        </w:rPr>
        <w:t xml:space="preserve">freedom, justice, governance and sustainability. We will then argue that </w:t>
      </w:r>
      <w:r w:rsidRPr="00A17D9B">
        <w:rPr>
          <w:rFonts w:ascii="Garamond" w:eastAsia="Garamond" w:hAnsi="Garamond" w:cs="Garamond"/>
          <w:i/>
          <w:noProof/>
          <w:sz w:val="24"/>
          <w:szCs w:val="24"/>
          <w:lang w:val="en-GB"/>
        </w:rPr>
        <w:t>humanity</w:t>
      </w:r>
      <w:r w:rsidRPr="00A17D9B">
        <w:rPr>
          <w:rFonts w:ascii="Garamond" w:eastAsia="Garamond" w:hAnsi="Garamond" w:cs="Garamond"/>
          <w:noProof/>
          <w:sz w:val="24"/>
          <w:szCs w:val="24"/>
          <w:lang w:val="en-GB"/>
        </w:rPr>
        <w:t xml:space="preserve"> rather than justice may be recognised as the normative horizon of common good dynamics</w:t>
      </w:r>
      <w:r w:rsidR="008E7DA9" w:rsidRPr="00A17D9B">
        <w:rPr>
          <w:rFonts w:ascii="Garamond" w:eastAsia="Garamond" w:hAnsi="Garamond" w:cs="Garamond"/>
          <w:noProof/>
          <w:sz w:val="24"/>
          <w:szCs w:val="24"/>
          <w:lang w:val="en-GB"/>
        </w:rPr>
        <w:t xml:space="preserve"> (</w:t>
      </w:r>
      <w:r w:rsidR="00837B9E" w:rsidRPr="00A17D9B">
        <w:rPr>
          <w:rFonts w:ascii="Garamond" w:eastAsia="Garamond" w:hAnsi="Garamond" w:cs="Garamond"/>
          <w:noProof/>
          <w:sz w:val="24"/>
          <w:szCs w:val="24"/>
          <w:lang w:val="en-GB"/>
        </w:rPr>
        <w:t xml:space="preserve">Rawls, 1971; </w:t>
      </w:r>
      <w:r w:rsidR="008E7DA9" w:rsidRPr="00A17D9B">
        <w:rPr>
          <w:rFonts w:ascii="Garamond" w:eastAsia="Garamond" w:hAnsi="Garamond" w:cs="Garamond"/>
          <w:noProof/>
          <w:sz w:val="24"/>
          <w:szCs w:val="24"/>
          <w:lang w:val="en-GB"/>
        </w:rPr>
        <w:t>Nebel, 2018a)</w:t>
      </w:r>
      <w:r w:rsidRPr="00A17D9B">
        <w:rPr>
          <w:rFonts w:ascii="Garamond" w:eastAsia="Garamond" w:hAnsi="Garamond" w:cs="Garamond"/>
          <w:noProof/>
          <w:sz w:val="24"/>
          <w:szCs w:val="24"/>
          <w:lang w:val="en-GB"/>
        </w:rPr>
        <w:t xml:space="preserve">. </w:t>
      </w:r>
    </w:p>
    <w:p w14:paraId="3D15F183" w14:textId="2CCC22E6" w:rsidR="003A0863" w:rsidRPr="00A17D9B" w:rsidRDefault="009302AE" w:rsidP="007623CF">
      <w:pPr>
        <w:pStyle w:val="Subttulo"/>
        <w:jc w:val="right"/>
        <w:rPr>
          <w:noProof/>
          <w:lang w:val="en-GB"/>
        </w:rPr>
      </w:pPr>
      <w:r w:rsidRPr="00A17D9B">
        <w:rPr>
          <w:noProof/>
          <w:lang w:val="en-GB"/>
        </w:rPr>
        <w:t>Overview of the M</w:t>
      </w:r>
      <w:r w:rsidR="003A0863" w:rsidRPr="00A17D9B">
        <w:rPr>
          <w:noProof/>
          <w:lang w:val="en-GB"/>
        </w:rPr>
        <w:t xml:space="preserve">atrix </w:t>
      </w:r>
    </w:p>
    <w:p w14:paraId="5850FFAE" w14:textId="171BE2E4" w:rsidR="00535565" w:rsidRPr="00A17D9B" w:rsidRDefault="000C728F" w:rsidP="006661EE">
      <w:pPr>
        <w:jc w:val="both"/>
        <w:rPr>
          <w:rFonts w:ascii="Garamond" w:hAnsi="Garamond"/>
          <w:noProof/>
          <w:sz w:val="24"/>
          <w:szCs w:val="24"/>
          <w:lang w:val="en-GB"/>
        </w:rPr>
      </w:pPr>
      <w:r w:rsidRPr="00A17D9B">
        <w:rPr>
          <w:rFonts w:ascii="Garamond" w:hAnsi="Garamond"/>
          <w:noProof/>
          <w:sz w:val="24"/>
          <w:szCs w:val="24"/>
          <w:lang w:val="en-GB"/>
        </w:rPr>
        <w:t xml:space="preserve">A </w:t>
      </w:r>
      <w:r w:rsidRPr="00A17D9B">
        <w:rPr>
          <w:rFonts w:ascii="Garamond" w:hAnsi="Garamond"/>
          <w:i/>
          <w:iCs/>
          <w:noProof/>
          <w:sz w:val="24"/>
          <w:szCs w:val="24"/>
          <w:lang w:val="en-GB"/>
        </w:rPr>
        <w:t>society</w:t>
      </w:r>
      <w:r w:rsidRPr="00A17D9B">
        <w:rPr>
          <w:rFonts w:ascii="Garamond" w:hAnsi="Garamond"/>
          <w:noProof/>
          <w:sz w:val="24"/>
          <w:szCs w:val="24"/>
          <w:lang w:val="en-GB"/>
        </w:rPr>
        <w:t xml:space="preserve"> can be described through the </w:t>
      </w:r>
      <w:r w:rsidR="00F14CB4" w:rsidRPr="00A17D9B">
        <w:rPr>
          <w:rFonts w:ascii="Garamond" w:hAnsi="Garamond"/>
          <w:i/>
          <w:iCs/>
          <w:noProof/>
          <w:sz w:val="24"/>
          <w:szCs w:val="24"/>
          <w:lang w:val="en-GB"/>
        </w:rPr>
        <w:t xml:space="preserve">set of </w:t>
      </w:r>
      <w:r w:rsidRPr="00A17D9B">
        <w:rPr>
          <w:rFonts w:ascii="Garamond" w:hAnsi="Garamond"/>
          <w:i/>
          <w:iCs/>
          <w:noProof/>
          <w:sz w:val="24"/>
          <w:szCs w:val="24"/>
          <w:lang w:val="en-GB"/>
        </w:rPr>
        <w:t xml:space="preserve">common goods it </w:t>
      </w:r>
      <w:r w:rsidR="00535565" w:rsidRPr="00A17D9B">
        <w:rPr>
          <w:rFonts w:ascii="Garamond" w:hAnsi="Garamond"/>
          <w:i/>
          <w:iCs/>
          <w:noProof/>
          <w:sz w:val="24"/>
          <w:szCs w:val="24"/>
          <w:lang w:val="en-GB"/>
        </w:rPr>
        <w:t xml:space="preserve">values, </w:t>
      </w:r>
      <w:r w:rsidRPr="00A17D9B">
        <w:rPr>
          <w:rFonts w:ascii="Garamond" w:hAnsi="Garamond"/>
          <w:i/>
          <w:iCs/>
          <w:noProof/>
          <w:sz w:val="24"/>
          <w:szCs w:val="24"/>
          <w:lang w:val="en-GB"/>
        </w:rPr>
        <w:t>produces</w:t>
      </w:r>
      <w:r w:rsidR="00837B9E" w:rsidRPr="00A17D9B">
        <w:rPr>
          <w:rFonts w:ascii="Garamond" w:hAnsi="Garamond"/>
          <w:i/>
          <w:iCs/>
          <w:noProof/>
          <w:sz w:val="24"/>
          <w:szCs w:val="24"/>
          <w:lang w:val="en-GB"/>
        </w:rPr>
        <w:t xml:space="preserve">, distribute </w:t>
      </w:r>
      <w:r w:rsidR="00535565" w:rsidRPr="00A17D9B">
        <w:rPr>
          <w:rFonts w:ascii="Garamond" w:hAnsi="Garamond"/>
          <w:i/>
          <w:iCs/>
          <w:noProof/>
          <w:sz w:val="24"/>
          <w:szCs w:val="24"/>
          <w:lang w:val="en-GB"/>
        </w:rPr>
        <w:t>and sustains</w:t>
      </w:r>
      <w:r w:rsidR="00535565" w:rsidRPr="00A17D9B">
        <w:rPr>
          <w:rFonts w:ascii="Garamond" w:hAnsi="Garamond"/>
          <w:noProof/>
          <w:sz w:val="24"/>
          <w:szCs w:val="24"/>
          <w:lang w:val="en-GB"/>
        </w:rPr>
        <w:t xml:space="preserve"> over time</w:t>
      </w:r>
      <w:r w:rsidRPr="00A17D9B">
        <w:rPr>
          <w:rFonts w:ascii="Garamond" w:hAnsi="Garamond"/>
          <w:noProof/>
          <w:sz w:val="24"/>
          <w:szCs w:val="24"/>
          <w:lang w:val="en-GB"/>
        </w:rPr>
        <w:t>.</w:t>
      </w:r>
      <w:r w:rsidR="00535565" w:rsidRPr="00A17D9B">
        <w:rPr>
          <w:rFonts w:ascii="Garamond" w:hAnsi="Garamond"/>
          <w:noProof/>
          <w:sz w:val="24"/>
          <w:szCs w:val="24"/>
          <w:lang w:val="en-GB"/>
        </w:rPr>
        <w:t xml:space="preserve"> </w:t>
      </w:r>
      <w:r w:rsidR="00F14CB4" w:rsidRPr="00A17D9B">
        <w:rPr>
          <w:rFonts w:ascii="Garamond" w:hAnsi="Garamond"/>
          <w:noProof/>
          <w:sz w:val="24"/>
          <w:szCs w:val="24"/>
          <w:lang w:val="en-GB"/>
        </w:rPr>
        <w:t>In turn a</w:t>
      </w:r>
      <w:r w:rsidR="00535565" w:rsidRPr="00A17D9B">
        <w:rPr>
          <w:rFonts w:ascii="Garamond" w:hAnsi="Garamond"/>
          <w:noProof/>
          <w:sz w:val="24"/>
          <w:szCs w:val="24"/>
          <w:lang w:val="en-GB"/>
        </w:rPr>
        <w:t xml:space="preserve"> </w:t>
      </w:r>
      <w:r w:rsidR="00535565" w:rsidRPr="00A17D9B">
        <w:rPr>
          <w:rFonts w:ascii="Garamond" w:hAnsi="Garamond"/>
          <w:i/>
          <w:iCs/>
          <w:noProof/>
          <w:sz w:val="24"/>
          <w:szCs w:val="24"/>
          <w:lang w:val="en-GB"/>
        </w:rPr>
        <w:t>specific common good</w:t>
      </w:r>
      <w:r w:rsidR="00535565" w:rsidRPr="00A17D9B">
        <w:rPr>
          <w:rFonts w:ascii="Garamond" w:hAnsi="Garamond"/>
          <w:noProof/>
          <w:sz w:val="24"/>
          <w:szCs w:val="24"/>
          <w:lang w:val="en-GB"/>
        </w:rPr>
        <w:t xml:space="preserve"> </w:t>
      </w:r>
      <w:r w:rsidR="00F14CB4" w:rsidRPr="00A17D9B">
        <w:rPr>
          <w:rFonts w:ascii="Garamond" w:hAnsi="Garamond"/>
          <w:noProof/>
          <w:sz w:val="24"/>
          <w:szCs w:val="24"/>
          <w:lang w:val="en-GB"/>
        </w:rPr>
        <w:t xml:space="preserve">may </w:t>
      </w:r>
      <w:r w:rsidR="00535565" w:rsidRPr="00A17D9B">
        <w:rPr>
          <w:rFonts w:ascii="Garamond" w:hAnsi="Garamond"/>
          <w:noProof/>
          <w:sz w:val="24"/>
          <w:szCs w:val="24"/>
          <w:lang w:val="en-GB"/>
        </w:rPr>
        <w:t xml:space="preserve">be </w:t>
      </w:r>
      <w:r w:rsidR="00F14CB4" w:rsidRPr="00A17D9B">
        <w:rPr>
          <w:rFonts w:ascii="Garamond" w:hAnsi="Garamond"/>
          <w:noProof/>
          <w:sz w:val="24"/>
          <w:szCs w:val="24"/>
          <w:lang w:val="en-GB"/>
        </w:rPr>
        <w:t xml:space="preserve">defined </w:t>
      </w:r>
      <w:r w:rsidR="00535565" w:rsidRPr="00A17D9B">
        <w:rPr>
          <w:rFonts w:ascii="Garamond" w:hAnsi="Garamond"/>
          <w:noProof/>
          <w:sz w:val="24"/>
          <w:szCs w:val="24"/>
          <w:lang w:val="en-GB"/>
        </w:rPr>
        <w:t xml:space="preserve">as an </w:t>
      </w:r>
      <w:r w:rsidR="00535565" w:rsidRPr="00A17D9B">
        <w:rPr>
          <w:rFonts w:ascii="Garamond" w:hAnsi="Garamond"/>
          <w:i/>
          <w:iCs/>
          <w:noProof/>
          <w:sz w:val="24"/>
          <w:szCs w:val="24"/>
          <w:lang w:val="en-GB"/>
        </w:rPr>
        <w:t>interaction of people, gathered around its consecution</w:t>
      </w:r>
      <w:r w:rsidR="00F14CB4" w:rsidRPr="00A17D9B">
        <w:rPr>
          <w:rFonts w:ascii="Garamond" w:hAnsi="Garamond"/>
          <w:i/>
          <w:iCs/>
          <w:noProof/>
          <w:sz w:val="24"/>
          <w:szCs w:val="24"/>
          <w:lang w:val="en-GB"/>
        </w:rPr>
        <w:t xml:space="preserve"> </w:t>
      </w:r>
      <w:r w:rsidR="00F14CB4" w:rsidRPr="00A17D9B">
        <w:rPr>
          <w:rFonts w:ascii="Garamond" w:hAnsi="Garamond"/>
          <w:noProof/>
          <w:sz w:val="24"/>
          <w:szCs w:val="24"/>
          <w:lang w:val="en-GB"/>
        </w:rPr>
        <w:t>(Nebel,</w:t>
      </w:r>
      <w:r w:rsidR="00F14CB4" w:rsidRPr="00A17D9B">
        <w:rPr>
          <w:rFonts w:ascii="Garamond" w:hAnsi="Garamond"/>
          <w:i/>
          <w:iCs/>
          <w:noProof/>
          <w:sz w:val="24"/>
          <w:szCs w:val="24"/>
          <w:lang w:val="en-GB"/>
        </w:rPr>
        <w:t xml:space="preserve"> </w:t>
      </w:r>
      <w:r w:rsidR="00116EA9" w:rsidRPr="00A17D9B">
        <w:rPr>
          <w:rFonts w:ascii="Garamond" w:hAnsi="Garamond"/>
          <w:noProof/>
          <w:sz w:val="24"/>
          <w:szCs w:val="24"/>
          <w:lang w:val="en-GB"/>
        </w:rPr>
        <w:t>201</w:t>
      </w:r>
      <w:r w:rsidR="00453966" w:rsidRPr="00A17D9B">
        <w:rPr>
          <w:rFonts w:ascii="Garamond" w:hAnsi="Garamond"/>
          <w:noProof/>
          <w:sz w:val="24"/>
          <w:szCs w:val="24"/>
          <w:lang w:val="en-GB"/>
        </w:rPr>
        <w:t>8a</w:t>
      </w:r>
      <w:r w:rsidR="00116EA9" w:rsidRPr="00A17D9B">
        <w:rPr>
          <w:rFonts w:ascii="Garamond" w:hAnsi="Garamond"/>
          <w:noProof/>
          <w:sz w:val="24"/>
          <w:szCs w:val="24"/>
          <w:lang w:val="en-GB"/>
        </w:rPr>
        <w:t>)</w:t>
      </w:r>
      <w:r w:rsidR="00535565" w:rsidRPr="00A17D9B">
        <w:rPr>
          <w:rFonts w:ascii="Garamond" w:hAnsi="Garamond"/>
          <w:noProof/>
          <w:sz w:val="24"/>
          <w:szCs w:val="24"/>
          <w:lang w:val="en-GB"/>
        </w:rPr>
        <w:t xml:space="preserve">. </w:t>
      </w:r>
      <w:r w:rsidR="00F14CB4" w:rsidRPr="00A17D9B">
        <w:rPr>
          <w:rFonts w:ascii="Garamond" w:hAnsi="Garamond"/>
          <w:noProof/>
          <w:sz w:val="24"/>
          <w:szCs w:val="24"/>
          <w:lang w:val="en-GB"/>
        </w:rPr>
        <w:t>This dynamic understanding of common goods</w:t>
      </w:r>
      <w:r w:rsidR="00535565" w:rsidRPr="00A17D9B">
        <w:rPr>
          <w:rFonts w:ascii="Garamond" w:hAnsi="Garamond"/>
          <w:noProof/>
          <w:sz w:val="24"/>
          <w:szCs w:val="24"/>
          <w:lang w:val="en-GB"/>
        </w:rPr>
        <w:t xml:space="preserve"> entails the complex process by which </w:t>
      </w:r>
      <w:r w:rsidR="00F14CB4" w:rsidRPr="00A17D9B">
        <w:rPr>
          <w:rFonts w:ascii="Garamond" w:hAnsi="Garamond"/>
          <w:noProof/>
          <w:sz w:val="24"/>
          <w:szCs w:val="24"/>
          <w:lang w:val="en-GB"/>
        </w:rPr>
        <w:t xml:space="preserve">a group </w:t>
      </w:r>
      <w:r w:rsidR="00535565" w:rsidRPr="00A17D9B">
        <w:rPr>
          <w:rFonts w:ascii="Garamond" w:hAnsi="Garamond"/>
          <w:noProof/>
          <w:sz w:val="24"/>
          <w:szCs w:val="24"/>
          <w:lang w:val="en-GB"/>
        </w:rPr>
        <w:t>value</w:t>
      </w:r>
      <w:r w:rsidR="00F14CB4" w:rsidRPr="00A17D9B">
        <w:rPr>
          <w:rFonts w:ascii="Garamond" w:hAnsi="Garamond"/>
          <w:noProof/>
          <w:sz w:val="24"/>
          <w:szCs w:val="24"/>
          <w:lang w:val="en-GB"/>
        </w:rPr>
        <w:t>s</w:t>
      </w:r>
      <w:r w:rsidR="00535565" w:rsidRPr="00A17D9B">
        <w:rPr>
          <w:rFonts w:ascii="Garamond" w:hAnsi="Garamond"/>
          <w:noProof/>
          <w:sz w:val="24"/>
          <w:szCs w:val="24"/>
          <w:lang w:val="en-GB"/>
        </w:rPr>
        <w:t xml:space="preserve"> </w:t>
      </w:r>
      <w:r w:rsidR="00F14CB4" w:rsidRPr="00A17D9B">
        <w:rPr>
          <w:rFonts w:ascii="Garamond" w:hAnsi="Garamond"/>
          <w:noProof/>
          <w:sz w:val="24"/>
          <w:szCs w:val="24"/>
          <w:lang w:val="en-GB"/>
        </w:rPr>
        <w:t xml:space="preserve">the </w:t>
      </w:r>
      <w:r w:rsidR="00535565" w:rsidRPr="00A17D9B">
        <w:rPr>
          <w:rFonts w:ascii="Garamond" w:hAnsi="Garamond"/>
          <w:noProof/>
          <w:sz w:val="24"/>
          <w:szCs w:val="24"/>
          <w:lang w:val="en-GB"/>
        </w:rPr>
        <w:t>common, organize</w:t>
      </w:r>
      <w:r w:rsidR="009302AE" w:rsidRPr="00A17D9B">
        <w:rPr>
          <w:rFonts w:ascii="Garamond" w:hAnsi="Garamond"/>
          <w:noProof/>
          <w:sz w:val="24"/>
          <w:szCs w:val="24"/>
          <w:lang w:val="en-GB"/>
        </w:rPr>
        <w:t>s</w:t>
      </w:r>
      <w:r w:rsidR="00535565" w:rsidRPr="00A17D9B">
        <w:rPr>
          <w:rFonts w:ascii="Garamond" w:hAnsi="Garamond"/>
          <w:noProof/>
          <w:sz w:val="24"/>
          <w:szCs w:val="24"/>
          <w:lang w:val="en-GB"/>
        </w:rPr>
        <w:t xml:space="preserve"> to efficiently produce it, govern</w:t>
      </w:r>
      <w:r w:rsidR="009302AE" w:rsidRPr="00A17D9B">
        <w:rPr>
          <w:rFonts w:ascii="Garamond" w:hAnsi="Garamond"/>
          <w:noProof/>
          <w:sz w:val="24"/>
          <w:szCs w:val="24"/>
          <w:lang w:val="en-GB"/>
        </w:rPr>
        <w:t>s</w:t>
      </w:r>
      <w:r w:rsidR="00535565" w:rsidRPr="00A17D9B">
        <w:rPr>
          <w:rFonts w:ascii="Garamond" w:hAnsi="Garamond"/>
          <w:noProof/>
          <w:sz w:val="24"/>
          <w:szCs w:val="24"/>
          <w:lang w:val="en-GB"/>
        </w:rPr>
        <w:t xml:space="preserve"> </w:t>
      </w:r>
      <w:r w:rsidR="00F14CB4" w:rsidRPr="00A17D9B">
        <w:rPr>
          <w:rFonts w:ascii="Garamond" w:hAnsi="Garamond"/>
          <w:noProof/>
          <w:sz w:val="24"/>
          <w:szCs w:val="24"/>
          <w:lang w:val="en-GB"/>
        </w:rPr>
        <w:t xml:space="preserve">it </w:t>
      </w:r>
      <w:r w:rsidR="00535565" w:rsidRPr="00A17D9B">
        <w:rPr>
          <w:rFonts w:ascii="Garamond" w:hAnsi="Garamond"/>
          <w:noProof/>
          <w:sz w:val="24"/>
          <w:szCs w:val="24"/>
          <w:lang w:val="en-GB"/>
        </w:rPr>
        <w:t>and distribute</w:t>
      </w:r>
      <w:r w:rsidR="009302AE" w:rsidRPr="00A17D9B">
        <w:rPr>
          <w:rFonts w:ascii="Garamond" w:hAnsi="Garamond"/>
          <w:noProof/>
          <w:sz w:val="24"/>
          <w:szCs w:val="24"/>
          <w:lang w:val="en-GB"/>
        </w:rPr>
        <w:t>s</w:t>
      </w:r>
      <w:r w:rsidR="00535565" w:rsidRPr="00A17D9B">
        <w:rPr>
          <w:rFonts w:ascii="Garamond" w:hAnsi="Garamond"/>
          <w:noProof/>
          <w:sz w:val="24"/>
          <w:szCs w:val="24"/>
          <w:lang w:val="en-GB"/>
        </w:rPr>
        <w:t xml:space="preserve"> the common benefit it creates. </w:t>
      </w:r>
    </w:p>
    <w:p w14:paraId="3D3A5FB8" w14:textId="7ECA3F9F" w:rsidR="001114E6" w:rsidRPr="00A17D9B" w:rsidRDefault="00535565" w:rsidP="006661EE">
      <w:pPr>
        <w:jc w:val="both"/>
        <w:rPr>
          <w:rFonts w:ascii="Garamond" w:hAnsi="Garamond"/>
          <w:noProof/>
          <w:sz w:val="24"/>
          <w:szCs w:val="24"/>
          <w:lang w:val="en-GB"/>
        </w:rPr>
      </w:pPr>
      <w:r w:rsidRPr="00A17D9B">
        <w:rPr>
          <w:rFonts w:ascii="Garamond" w:hAnsi="Garamond"/>
          <w:noProof/>
          <w:sz w:val="24"/>
          <w:szCs w:val="24"/>
          <w:lang w:val="en-GB"/>
        </w:rPr>
        <w:t>But no specific common good exist</w:t>
      </w:r>
      <w:r w:rsidR="009302AE" w:rsidRPr="00A17D9B">
        <w:rPr>
          <w:rFonts w:ascii="Garamond" w:hAnsi="Garamond"/>
          <w:noProof/>
          <w:sz w:val="24"/>
          <w:szCs w:val="24"/>
          <w:lang w:val="en-GB"/>
        </w:rPr>
        <w:t>s</w:t>
      </w:r>
      <w:r w:rsidRPr="00A17D9B">
        <w:rPr>
          <w:rFonts w:ascii="Garamond" w:hAnsi="Garamond"/>
          <w:noProof/>
          <w:sz w:val="24"/>
          <w:szCs w:val="24"/>
          <w:lang w:val="en-GB"/>
        </w:rPr>
        <w:t xml:space="preserve"> </w:t>
      </w:r>
      <w:r w:rsidR="007C1631" w:rsidRPr="00A17D9B">
        <w:rPr>
          <w:rFonts w:ascii="Garamond" w:hAnsi="Garamond"/>
          <w:noProof/>
          <w:sz w:val="24"/>
          <w:szCs w:val="24"/>
          <w:lang w:val="en-GB"/>
        </w:rPr>
        <w:t>in isolation</w:t>
      </w:r>
      <w:r w:rsidRPr="00A17D9B">
        <w:rPr>
          <w:rFonts w:ascii="Garamond" w:hAnsi="Garamond"/>
          <w:noProof/>
          <w:sz w:val="24"/>
          <w:szCs w:val="24"/>
          <w:lang w:val="en-GB"/>
        </w:rPr>
        <w:t xml:space="preserve">, just for itself. Each one is part of a wider system of common goods </w:t>
      </w:r>
      <w:r w:rsidR="000C728F" w:rsidRPr="00A17D9B">
        <w:rPr>
          <w:rFonts w:ascii="Garamond" w:hAnsi="Garamond"/>
          <w:noProof/>
          <w:sz w:val="24"/>
          <w:szCs w:val="24"/>
          <w:lang w:val="en-GB"/>
        </w:rPr>
        <w:t xml:space="preserve">we </w:t>
      </w:r>
      <w:r w:rsidR="00A47F88" w:rsidRPr="00A17D9B">
        <w:rPr>
          <w:rFonts w:ascii="Garamond" w:hAnsi="Garamond"/>
          <w:noProof/>
          <w:sz w:val="24"/>
          <w:szCs w:val="24"/>
          <w:lang w:val="en-GB"/>
        </w:rPr>
        <w:t xml:space="preserve">will </w:t>
      </w:r>
      <w:r w:rsidR="009302AE" w:rsidRPr="00A17D9B">
        <w:rPr>
          <w:rFonts w:ascii="Garamond" w:hAnsi="Garamond"/>
          <w:noProof/>
          <w:sz w:val="24"/>
          <w:szCs w:val="24"/>
          <w:lang w:val="en-GB"/>
        </w:rPr>
        <w:t xml:space="preserve">refer to, as </w:t>
      </w:r>
      <w:r w:rsidRPr="00A17D9B">
        <w:rPr>
          <w:rFonts w:ascii="Garamond" w:hAnsi="Garamond"/>
          <w:noProof/>
          <w:sz w:val="24"/>
          <w:szCs w:val="24"/>
          <w:lang w:val="en-GB"/>
        </w:rPr>
        <w:t xml:space="preserve">the </w:t>
      </w:r>
      <w:r w:rsidR="000C728F" w:rsidRPr="00A17D9B">
        <w:rPr>
          <w:rFonts w:ascii="Garamond" w:hAnsi="Garamond"/>
          <w:i/>
          <w:iCs/>
          <w:noProof/>
          <w:sz w:val="24"/>
          <w:szCs w:val="24"/>
          <w:lang w:val="en-GB"/>
        </w:rPr>
        <w:t>nexus of common goods</w:t>
      </w:r>
      <w:r w:rsidR="000C728F" w:rsidRPr="00A17D9B">
        <w:rPr>
          <w:rFonts w:ascii="Garamond" w:hAnsi="Garamond"/>
          <w:noProof/>
          <w:sz w:val="24"/>
          <w:szCs w:val="24"/>
          <w:lang w:val="en-GB"/>
        </w:rPr>
        <w:t xml:space="preserve">. Each common good within the nexus is related to </w:t>
      </w:r>
      <w:r w:rsidRPr="00A17D9B">
        <w:rPr>
          <w:rFonts w:ascii="Garamond" w:hAnsi="Garamond"/>
          <w:noProof/>
          <w:sz w:val="24"/>
          <w:szCs w:val="24"/>
          <w:lang w:val="en-GB"/>
        </w:rPr>
        <w:t xml:space="preserve">others, often imperfectly, to build a </w:t>
      </w:r>
      <w:r w:rsidRPr="00A17D9B">
        <w:rPr>
          <w:rFonts w:ascii="Garamond" w:hAnsi="Garamond"/>
          <w:i/>
          <w:iCs/>
          <w:noProof/>
          <w:sz w:val="24"/>
          <w:szCs w:val="24"/>
          <w:lang w:val="en-GB"/>
        </w:rPr>
        <w:t>complex and dynamic equilibrium</w:t>
      </w:r>
      <w:r w:rsidR="00116EA9" w:rsidRPr="00A17D9B">
        <w:rPr>
          <w:rFonts w:ascii="Garamond" w:hAnsi="Garamond"/>
          <w:noProof/>
          <w:sz w:val="24"/>
          <w:szCs w:val="24"/>
          <w:lang w:val="en-GB"/>
        </w:rPr>
        <w:t xml:space="preserve"> (Nebel, 2018</w:t>
      </w:r>
      <w:r w:rsidR="00453966" w:rsidRPr="00A17D9B">
        <w:rPr>
          <w:rFonts w:ascii="Garamond" w:hAnsi="Garamond"/>
          <w:noProof/>
          <w:sz w:val="24"/>
          <w:szCs w:val="24"/>
          <w:lang w:val="en-GB"/>
        </w:rPr>
        <w:t>b</w:t>
      </w:r>
      <w:r w:rsidR="00116EA9" w:rsidRPr="00A17D9B">
        <w:rPr>
          <w:rFonts w:ascii="Garamond" w:hAnsi="Garamond"/>
          <w:noProof/>
          <w:sz w:val="24"/>
          <w:szCs w:val="24"/>
          <w:lang w:val="en-GB"/>
        </w:rPr>
        <w:t>)</w:t>
      </w:r>
      <w:r w:rsidRPr="00A17D9B">
        <w:rPr>
          <w:rFonts w:ascii="Garamond" w:hAnsi="Garamond"/>
          <w:noProof/>
          <w:sz w:val="24"/>
          <w:szCs w:val="24"/>
          <w:lang w:val="en-GB"/>
        </w:rPr>
        <w:t xml:space="preserve">. This equilibrium </w:t>
      </w:r>
      <w:r w:rsidR="000C728F" w:rsidRPr="00A17D9B">
        <w:rPr>
          <w:rFonts w:ascii="Garamond" w:hAnsi="Garamond"/>
          <w:noProof/>
          <w:sz w:val="24"/>
          <w:szCs w:val="24"/>
          <w:lang w:val="en-GB"/>
        </w:rPr>
        <w:t xml:space="preserve">implies </w:t>
      </w:r>
      <w:r w:rsidR="001114E6" w:rsidRPr="00A17D9B">
        <w:rPr>
          <w:rFonts w:ascii="Garamond" w:hAnsi="Garamond"/>
          <w:noProof/>
          <w:sz w:val="24"/>
          <w:szCs w:val="24"/>
          <w:lang w:val="en-GB"/>
        </w:rPr>
        <w:t xml:space="preserve">that the different </w:t>
      </w:r>
      <w:r w:rsidRPr="00A17D9B">
        <w:rPr>
          <w:rFonts w:ascii="Garamond" w:hAnsi="Garamond"/>
          <w:noProof/>
          <w:sz w:val="24"/>
          <w:szCs w:val="24"/>
          <w:lang w:val="en-GB"/>
        </w:rPr>
        <w:t xml:space="preserve">conflicts and </w:t>
      </w:r>
      <w:r w:rsidR="001114E6" w:rsidRPr="00A17D9B">
        <w:rPr>
          <w:rFonts w:ascii="Garamond" w:hAnsi="Garamond"/>
          <w:noProof/>
          <w:sz w:val="24"/>
          <w:szCs w:val="24"/>
          <w:lang w:val="en-GB"/>
        </w:rPr>
        <w:t>tradeoff</w:t>
      </w:r>
      <w:r w:rsidR="009302AE" w:rsidRPr="00A17D9B">
        <w:rPr>
          <w:rFonts w:ascii="Garamond" w:hAnsi="Garamond"/>
          <w:noProof/>
          <w:sz w:val="24"/>
          <w:szCs w:val="24"/>
          <w:lang w:val="en-GB"/>
        </w:rPr>
        <w:t>s</w:t>
      </w:r>
      <w:r w:rsidRPr="00A17D9B">
        <w:rPr>
          <w:rFonts w:ascii="Garamond" w:hAnsi="Garamond"/>
          <w:noProof/>
          <w:sz w:val="24"/>
          <w:szCs w:val="24"/>
          <w:lang w:val="en-GB"/>
        </w:rPr>
        <w:t xml:space="preserve"> between the </w:t>
      </w:r>
      <w:r w:rsidR="001114E6" w:rsidRPr="00A17D9B">
        <w:rPr>
          <w:rFonts w:ascii="Garamond" w:hAnsi="Garamond"/>
          <w:noProof/>
          <w:sz w:val="24"/>
          <w:szCs w:val="24"/>
          <w:lang w:val="en-GB"/>
        </w:rPr>
        <w:t xml:space="preserve">existing common goods have reached a certain arrangement along </w:t>
      </w:r>
      <w:r w:rsidR="007C1631" w:rsidRPr="00A17D9B">
        <w:rPr>
          <w:rFonts w:ascii="Garamond" w:hAnsi="Garamond"/>
          <w:noProof/>
          <w:sz w:val="24"/>
          <w:szCs w:val="24"/>
          <w:lang w:val="en-GB"/>
        </w:rPr>
        <w:t xml:space="preserve">specific </w:t>
      </w:r>
      <w:r w:rsidR="001114E6" w:rsidRPr="00A17D9B">
        <w:rPr>
          <w:rFonts w:ascii="Garamond" w:hAnsi="Garamond"/>
          <w:i/>
          <w:iCs/>
          <w:noProof/>
          <w:sz w:val="24"/>
          <w:szCs w:val="24"/>
          <w:lang w:val="en-GB"/>
        </w:rPr>
        <w:t>hierarchies</w:t>
      </w:r>
      <w:r w:rsidR="001114E6" w:rsidRPr="00A17D9B">
        <w:rPr>
          <w:rFonts w:ascii="Garamond" w:hAnsi="Garamond"/>
          <w:noProof/>
          <w:sz w:val="24"/>
          <w:szCs w:val="24"/>
          <w:lang w:val="en-GB"/>
        </w:rPr>
        <w:t xml:space="preserve"> </w:t>
      </w:r>
      <w:r w:rsidR="009302AE" w:rsidRPr="00A17D9B">
        <w:rPr>
          <w:rFonts w:ascii="Garamond" w:hAnsi="Garamond"/>
          <w:noProof/>
          <w:sz w:val="24"/>
          <w:szCs w:val="24"/>
          <w:lang w:val="en-GB"/>
        </w:rPr>
        <w:t>that structure</w:t>
      </w:r>
      <w:r w:rsidR="007C1631" w:rsidRPr="00A17D9B">
        <w:rPr>
          <w:rFonts w:ascii="Garamond" w:hAnsi="Garamond"/>
          <w:noProof/>
          <w:sz w:val="24"/>
          <w:szCs w:val="24"/>
          <w:lang w:val="en-GB"/>
        </w:rPr>
        <w:t xml:space="preserve"> and identify the nexus as unique</w:t>
      </w:r>
      <w:r w:rsidR="001114E6" w:rsidRPr="00A17D9B">
        <w:rPr>
          <w:rFonts w:ascii="Garamond" w:hAnsi="Garamond"/>
          <w:noProof/>
          <w:sz w:val="24"/>
          <w:szCs w:val="24"/>
          <w:lang w:val="en-GB"/>
        </w:rPr>
        <w:t xml:space="preserve">. </w:t>
      </w:r>
      <w:r w:rsidR="007C1631" w:rsidRPr="00A17D9B">
        <w:rPr>
          <w:rFonts w:ascii="Garamond" w:hAnsi="Garamond"/>
          <w:noProof/>
          <w:sz w:val="24"/>
          <w:szCs w:val="24"/>
          <w:lang w:val="en-GB"/>
        </w:rPr>
        <w:t>Each</w:t>
      </w:r>
      <w:r w:rsidR="001114E6" w:rsidRPr="00A17D9B">
        <w:rPr>
          <w:rFonts w:ascii="Garamond" w:hAnsi="Garamond"/>
          <w:noProof/>
          <w:sz w:val="24"/>
          <w:szCs w:val="24"/>
          <w:lang w:val="en-GB"/>
        </w:rPr>
        <w:t xml:space="preserve"> nexus is therefore different, ea</w:t>
      </w:r>
      <w:r w:rsidR="009302AE" w:rsidRPr="00A17D9B">
        <w:rPr>
          <w:rFonts w:ascii="Garamond" w:hAnsi="Garamond"/>
          <w:noProof/>
          <w:sz w:val="24"/>
          <w:szCs w:val="24"/>
          <w:lang w:val="en-GB"/>
        </w:rPr>
        <w:t>ch culture and nation generates</w:t>
      </w:r>
      <w:r w:rsidR="001114E6" w:rsidRPr="00A17D9B">
        <w:rPr>
          <w:rFonts w:ascii="Garamond" w:hAnsi="Garamond"/>
          <w:noProof/>
          <w:sz w:val="24"/>
          <w:szCs w:val="24"/>
          <w:lang w:val="en-GB"/>
        </w:rPr>
        <w:t xml:space="preserve"> a specific arrangement on the basis of its own history and worldview. Neither is this equilibrium definitive. It changes</w:t>
      </w:r>
      <w:r w:rsidR="009302AE" w:rsidRPr="00A17D9B">
        <w:rPr>
          <w:rFonts w:ascii="Garamond" w:hAnsi="Garamond"/>
          <w:noProof/>
          <w:sz w:val="24"/>
          <w:szCs w:val="24"/>
          <w:lang w:val="en-GB"/>
        </w:rPr>
        <w:t>,</w:t>
      </w:r>
      <w:r w:rsidR="001114E6" w:rsidRPr="00A17D9B">
        <w:rPr>
          <w:rFonts w:ascii="Garamond" w:hAnsi="Garamond"/>
          <w:noProof/>
          <w:sz w:val="24"/>
          <w:szCs w:val="24"/>
          <w:lang w:val="en-GB"/>
        </w:rPr>
        <w:t xml:space="preserve"> by definition</w:t>
      </w:r>
      <w:r w:rsidR="009302AE" w:rsidRPr="00A17D9B">
        <w:rPr>
          <w:rFonts w:ascii="Garamond" w:hAnsi="Garamond"/>
          <w:noProof/>
          <w:sz w:val="24"/>
          <w:szCs w:val="24"/>
          <w:lang w:val="en-GB"/>
        </w:rPr>
        <w:t>,</w:t>
      </w:r>
      <w:r w:rsidR="001114E6" w:rsidRPr="00A17D9B">
        <w:rPr>
          <w:rFonts w:ascii="Garamond" w:hAnsi="Garamond"/>
          <w:noProof/>
          <w:sz w:val="24"/>
          <w:szCs w:val="24"/>
          <w:lang w:val="en-GB"/>
        </w:rPr>
        <w:t xml:space="preserve"> as the historical relevance of some commons fade</w:t>
      </w:r>
      <w:r w:rsidR="009302AE" w:rsidRPr="00A17D9B">
        <w:rPr>
          <w:rFonts w:ascii="Garamond" w:hAnsi="Garamond"/>
          <w:noProof/>
          <w:sz w:val="24"/>
          <w:szCs w:val="24"/>
          <w:lang w:val="en-GB"/>
        </w:rPr>
        <w:t xml:space="preserve">, </w:t>
      </w:r>
      <w:r w:rsidR="001114E6" w:rsidRPr="00A17D9B">
        <w:rPr>
          <w:rFonts w:ascii="Garamond" w:hAnsi="Garamond"/>
          <w:noProof/>
          <w:sz w:val="24"/>
          <w:szCs w:val="24"/>
          <w:lang w:val="en-GB"/>
        </w:rPr>
        <w:t xml:space="preserve">new arise and the population </w:t>
      </w:r>
      <w:r w:rsidR="007C1631" w:rsidRPr="00A17D9B">
        <w:rPr>
          <w:rFonts w:ascii="Garamond" w:hAnsi="Garamond"/>
          <w:noProof/>
          <w:sz w:val="24"/>
          <w:szCs w:val="24"/>
          <w:lang w:val="en-GB"/>
        </w:rPr>
        <w:t xml:space="preserve">evolves in the </w:t>
      </w:r>
      <w:r w:rsidR="001114E6" w:rsidRPr="00A17D9B">
        <w:rPr>
          <w:rFonts w:ascii="Garamond" w:hAnsi="Garamond"/>
          <w:noProof/>
          <w:sz w:val="24"/>
          <w:szCs w:val="24"/>
          <w:lang w:val="en-GB"/>
        </w:rPr>
        <w:t xml:space="preserve">values </w:t>
      </w:r>
      <w:r w:rsidR="009302AE" w:rsidRPr="00A17D9B">
        <w:rPr>
          <w:rFonts w:ascii="Garamond" w:hAnsi="Garamond"/>
          <w:noProof/>
          <w:sz w:val="24"/>
          <w:szCs w:val="24"/>
          <w:lang w:val="en-GB"/>
        </w:rPr>
        <w:t>recognized by</w:t>
      </w:r>
      <w:r w:rsidR="007C1631" w:rsidRPr="00A17D9B">
        <w:rPr>
          <w:rFonts w:ascii="Garamond" w:hAnsi="Garamond"/>
          <w:noProof/>
          <w:sz w:val="24"/>
          <w:szCs w:val="24"/>
          <w:lang w:val="en-GB"/>
        </w:rPr>
        <w:t xml:space="preserve"> the </w:t>
      </w:r>
      <w:r w:rsidR="001114E6" w:rsidRPr="00A17D9B">
        <w:rPr>
          <w:rFonts w:ascii="Garamond" w:hAnsi="Garamond"/>
          <w:noProof/>
          <w:sz w:val="24"/>
          <w:szCs w:val="24"/>
          <w:lang w:val="en-GB"/>
        </w:rPr>
        <w:t>hierarch</w:t>
      </w:r>
      <w:r w:rsidR="007C1631" w:rsidRPr="00A17D9B">
        <w:rPr>
          <w:rFonts w:ascii="Garamond" w:hAnsi="Garamond"/>
          <w:noProof/>
          <w:sz w:val="24"/>
          <w:szCs w:val="24"/>
          <w:lang w:val="en-GB"/>
        </w:rPr>
        <w:t>y</w:t>
      </w:r>
      <w:r w:rsidR="001114E6" w:rsidRPr="00A17D9B">
        <w:rPr>
          <w:rFonts w:ascii="Garamond" w:hAnsi="Garamond"/>
          <w:noProof/>
          <w:sz w:val="24"/>
          <w:szCs w:val="24"/>
          <w:lang w:val="en-GB"/>
        </w:rPr>
        <w:t xml:space="preserve"> </w:t>
      </w:r>
      <w:r w:rsidR="007C1631" w:rsidRPr="00A17D9B">
        <w:rPr>
          <w:rFonts w:ascii="Garamond" w:hAnsi="Garamond"/>
          <w:noProof/>
          <w:sz w:val="24"/>
          <w:szCs w:val="24"/>
          <w:lang w:val="en-GB"/>
        </w:rPr>
        <w:lastRenderedPageBreak/>
        <w:t xml:space="preserve">of </w:t>
      </w:r>
      <w:r w:rsidR="001114E6" w:rsidRPr="00A17D9B">
        <w:rPr>
          <w:rFonts w:ascii="Garamond" w:hAnsi="Garamond"/>
          <w:noProof/>
          <w:sz w:val="24"/>
          <w:szCs w:val="24"/>
          <w:lang w:val="en-GB"/>
        </w:rPr>
        <w:t xml:space="preserve">common goods. One good example is the role of faith and religion in Western Europe that has swiftly changed during the second part of the XX Century to become far less relevant </w:t>
      </w:r>
      <w:r w:rsidR="00D252B7" w:rsidRPr="00A17D9B">
        <w:rPr>
          <w:rFonts w:ascii="Garamond" w:hAnsi="Garamond"/>
          <w:noProof/>
          <w:sz w:val="24"/>
          <w:szCs w:val="24"/>
          <w:lang w:val="en-GB"/>
        </w:rPr>
        <w:t xml:space="preserve">to the hierarchy of </w:t>
      </w:r>
      <w:r w:rsidR="001114E6" w:rsidRPr="00A17D9B">
        <w:rPr>
          <w:rFonts w:ascii="Garamond" w:hAnsi="Garamond"/>
          <w:noProof/>
          <w:sz w:val="24"/>
          <w:szCs w:val="24"/>
          <w:lang w:val="en-GB"/>
        </w:rPr>
        <w:t xml:space="preserve">common goods </w:t>
      </w:r>
      <w:r w:rsidR="00D252B7" w:rsidRPr="00A17D9B">
        <w:rPr>
          <w:rFonts w:ascii="Garamond" w:hAnsi="Garamond"/>
          <w:noProof/>
          <w:sz w:val="24"/>
          <w:szCs w:val="24"/>
          <w:lang w:val="en-GB"/>
        </w:rPr>
        <w:t>in these countries</w:t>
      </w:r>
      <w:r w:rsidR="00837B9E" w:rsidRPr="00A17D9B">
        <w:rPr>
          <w:rFonts w:ascii="Garamond" w:hAnsi="Garamond"/>
          <w:noProof/>
          <w:sz w:val="24"/>
          <w:szCs w:val="24"/>
          <w:lang w:val="en-GB"/>
        </w:rPr>
        <w:t xml:space="preserve"> </w:t>
      </w:r>
      <w:r w:rsidR="0092010C" w:rsidRPr="00A17D9B">
        <w:rPr>
          <w:rFonts w:ascii="Garamond" w:hAnsi="Garamond"/>
          <w:noProof/>
          <w:sz w:val="24"/>
          <w:szCs w:val="24"/>
          <w:lang w:val="en-GB"/>
        </w:rPr>
        <w:t>(European Values Study, 2015)</w:t>
      </w:r>
      <w:r w:rsidR="00D252B7" w:rsidRPr="00A17D9B">
        <w:rPr>
          <w:rFonts w:ascii="Garamond" w:hAnsi="Garamond"/>
          <w:noProof/>
          <w:sz w:val="24"/>
          <w:szCs w:val="24"/>
          <w:lang w:val="en-GB"/>
        </w:rPr>
        <w:t xml:space="preserve">. </w:t>
      </w:r>
    </w:p>
    <w:p w14:paraId="6CED9C4C" w14:textId="363A6749" w:rsidR="002B6DE9" w:rsidRPr="00A17D9B" w:rsidRDefault="00D252B7" w:rsidP="006661EE">
      <w:pPr>
        <w:jc w:val="both"/>
        <w:rPr>
          <w:rFonts w:ascii="Garamond" w:hAnsi="Garamond"/>
          <w:noProof/>
          <w:sz w:val="24"/>
          <w:szCs w:val="24"/>
          <w:lang w:val="en-GB"/>
        </w:rPr>
      </w:pPr>
      <w:r w:rsidRPr="00A17D9B">
        <w:rPr>
          <w:rFonts w:ascii="Garamond" w:hAnsi="Garamond"/>
          <w:noProof/>
          <w:sz w:val="24"/>
          <w:szCs w:val="24"/>
          <w:lang w:val="en-GB"/>
        </w:rPr>
        <w:t xml:space="preserve">The changes in this equilibrium </w:t>
      </w:r>
      <w:r w:rsidR="00B86FDC" w:rsidRPr="00A17D9B">
        <w:rPr>
          <w:rFonts w:ascii="Garamond" w:hAnsi="Garamond"/>
          <w:noProof/>
          <w:sz w:val="24"/>
          <w:szCs w:val="24"/>
          <w:lang w:val="en-GB"/>
        </w:rPr>
        <w:t>are not autopoietic</w:t>
      </w:r>
      <w:r w:rsidR="007C1631" w:rsidRPr="00A17D9B">
        <w:rPr>
          <w:rFonts w:ascii="Garamond" w:hAnsi="Garamond"/>
          <w:noProof/>
          <w:sz w:val="24"/>
          <w:szCs w:val="24"/>
          <w:lang w:val="en-GB"/>
        </w:rPr>
        <w:t xml:space="preserve"> (Nebel, 2018b)</w:t>
      </w:r>
      <w:r w:rsidRPr="00A17D9B">
        <w:rPr>
          <w:rFonts w:ascii="Garamond" w:hAnsi="Garamond"/>
          <w:noProof/>
          <w:sz w:val="24"/>
          <w:szCs w:val="24"/>
          <w:lang w:val="en-GB"/>
        </w:rPr>
        <w:t>. Nexus of common good do not grow erratically in the dark</w:t>
      </w:r>
      <w:r w:rsidR="00F829AD" w:rsidRPr="00A17D9B">
        <w:rPr>
          <w:rFonts w:ascii="Garamond" w:hAnsi="Garamond"/>
          <w:noProof/>
          <w:sz w:val="24"/>
          <w:szCs w:val="24"/>
          <w:lang w:val="en-GB"/>
        </w:rPr>
        <w:t>,</w:t>
      </w:r>
      <w:r w:rsidRPr="00A17D9B">
        <w:rPr>
          <w:rFonts w:ascii="Garamond" w:hAnsi="Garamond"/>
          <w:noProof/>
          <w:sz w:val="24"/>
          <w:szCs w:val="24"/>
          <w:lang w:val="en-GB"/>
        </w:rPr>
        <w:t xml:space="preserve"> like mushroom</w:t>
      </w:r>
      <w:r w:rsidR="00B86FDC" w:rsidRPr="00A17D9B">
        <w:rPr>
          <w:rFonts w:ascii="Garamond" w:hAnsi="Garamond"/>
          <w:noProof/>
          <w:sz w:val="24"/>
          <w:szCs w:val="24"/>
          <w:lang w:val="en-GB"/>
        </w:rPr>
        <w:t xml:space="preserve">s or transform mechanically along some </w:t>
      </w:r>
      <w:r w:rsidR="00A47F88" w:rsidRPr="00A17D9B">
        <w:rPr>
          <w:rFonts w:ascii="Garamond" w:hAnsi="Garamond"/>
          <w:noProof/>
          <w:sz w:val="24"/>
          <w:szCs w:val="24"/>
          <w:lang w:val="en-GB"/>
        </w:rPr>
        <w:t>preexisting tracks</w:t>
      </w:r>
      <w:r w:rsidR="00B86FDC" w:rsidRPr="00A17D9B">
        <w:rPr>
          <w:rFonts w:ascii="Garamond" w:hAnsi="Garamond"/>
          <w:noProof/>
          <w:sz w:val="24"/>
          <w:szCs w:val="24"/>
          <w:lang w:val="en-GB"/>
        </w:rPr>
        <w:t xml:space="preserve">. </w:t>
      </w:r>
      <w:r w:rsidR="00A47F88" w:rsidRPr="00A17D9B">
        <w:rPr>
          <w:rFonts w:ascii="Garamond" w:hAnsi="Garamond"/>
          <w:noProof/>
          <w:sz w:val="24"/>
          <w:szCs w:val="24"/>
          <w:lang w:val="en-GB"/>
        </w:rPr>
        <w:t xml:space="preserve">The nexus is a </w:t>
      </w:r>
      <w:r w:rsidR="00A47F88" w:rsidRPr="00A17D9B">
        <w:rPr>
          <w:rFonts w:ascii="Garamond" w:hAnsi="Garamond"/>
          <w:i/>
          <w:iCs/>
          <w:noProof/>
          <w:sz w:val="24"/>
          <w:szCs w:val="24"/>
          <w:lang w:val="en-GB"/>
        </w:rPr>
        <w:t>human construct</w:t>
      </w:r>
      <w:r w:rsidR="00A47F88" w:rsidRPr="00A17D9B">
        <w:rPr>
          <w:rFonts w:ascii="Garamond" w:hAnsi="Garamond"/>
          <w:noProof/>
          <w:sz w:val="24"/>
          <w:szCs w:val="24"/>
          <w:lang w:val="en-GB"/>
        </w:rPr>
        <w:t xml:space="preserve">. </w:t>
      </w:r>
      <w:r w:rsidR="00B86FDC" w:rsidRPr="00A17D9B">
        <w:rPr>
          <w:rFonts w:ascii="Garamond" w:hAnsi="Garamond"/>
          <w:noProof/>
          <w:sz w:val="24"/>
          <w:szCs w:val="24"/>
          <w:lang w:val="en-GB"/>
        </w:rPr>
        <w:t>While the governance of the nexus is necessarily polycentric, a certain amount of governance of the equilibrium exist</w:t>
      </w:r>
      <w:r w:rsidR="00F829AD" w:rsidRPr="00A17D9B">
        <w:rPr>
          <w:rFonts w:ascii="Garamond" w:hAnsi="Garamond"/>
          <w:noProof/>
          <w:sz w:val="24"/>
          <w:szCs w:val="24"/>
          <w:lang w:val="en-GB"/>
        </w:rPr>
        <w:t>s</w:t>
      </w:r>
      <w:r w:rsidR="00B86FDC" w:rsidRPr="00A17D9B">
        <w:rPr>
          <w:rFonts w:ascii="Garamond" w:hAnsi="Garamond"/>
          <w:noProof/>
          <w:sz w:val="24"/>
          <w:szCs w:val="24"/>
          <w:lang w:val="en-GB"/>
        </w:rPr>
        <w:t xml:space="preserve"> and is indeed required</w:t>
      </w:r>
      <w:r w:rsidR="007C1631" w:rsidRPr="00A17D9B">
        <w:rPr>
          <w:rFonts w:ascii="Garamond" w:hAnsi="Garamond"/>
          <w:noProof/>
          <w:sz w:val="24"/>
          <w:szCs w:val="24"/>
          <w:lang w:val="en-GB"/>
        </w:rPr>
        <w:t xml:space="preserve"> (Ostrom, 2009)</w:t>
      </w:r>
      <w:r w:rsidR="00B86FDC" w:rsidRPr="00A17D9B">
        <w:rPr>
          <w:rFonts w:ascii="Garamond" w:hAnsi="Garamond"/>
          <w:noProof/>
          <w:sz w:val="24"/>
          <w:szCs w:val="24"/>
          <w:lang w:val="en-GB"/>
        </w:rPr>
        <w:t xml:space="preserve">. </w:t>
      </w:r>
      <w:r w:rsidR="002C1249" w:rsidRPr="00A17D9B">
        <w:rPr>
          <w:rFonts w:ascii="Garamond" w:hAnsi="Garamond"/>
          <w:noProof/>
          <w:sz w:val="24"/>
          <w:szCs w:val="24"/>
          <w:lang w:val="en-GB"/>
        </w:rPr>
        <w:t xml:space="preserve">Political governance can be seen as the steering wheel of the nexus, overseeing not only the </w:t>
      </w:r>
      <w:r w:rsidR="00A47F88" w:rsidRPr="00A17D9B">
        <w:rPr>
          <w:rFonts w:ascii="Garamond" w:hAnsi="Garamond"/>
          <w:i/>
          <w:iCs/>
          <w:noProof/>
          <w:sz w:val="24"/>
          <w:szCs w:val="24"/>
          <w:lang w:val="en-GB"/>
        </w:rPr>
        <w:t>present</w:t>
      </w:r>
      <w:r w:rsidR="00A47F88" w:rsidRPr="00A17D9B">
        <w:rPr>
          <w:rFonts w:ascii="Garamond" w:hAnsi="Garamond"/>
          <w:noProof/>
          <w:sz w:val="24"/>
          <w:szCs w:val="24"/>
          <w:lang w:val="en-GB"/>
        </w:rPr>
        <w:t xml:space="preserve"> </w:t>
      </w:r>
      <w:r w:rsidR="002C1249" w:rsidRPr="00A17D9B">
        <w:rPr>
          <w:rFonts w:ascii="Garamond" w:hAnsi="Garamond"/>
          <w:noProof/>
          <w:sz w:val="24"/>
          <w:szCs w:val="24"/>
          <w:lang w:val="en-GB"/>
        </w:rPr>
        <w:t xml:space="preserve">coherence and quality of the equilibrium, but also its </w:t>
      </w:r>
      <w:r w:rsidR="002C1249" w:rsidRPr="00A17D9B">
        <w:rPr>
          <w:rFonts w:ascii="Garamond" w:hAnsi="Garamond"/>
          <w:i/>
          <w:iCs/>
          <w:noProof/>
          <w:sz w:val="24"/>
          <w:szCs w:val="24"/>
          <w:lang w:val="en-GB"/>
        </w:rPr>
        <w:t>overall direction</w:t>
      </w:r>
      <w:r w:rsidR="002C1249" w:rsidRPr="00A17D9B">
        <w:rPr>
          <w:rFonts w:ascii="Garamond" w:hAnsi="Garamond"/>
          <w:noProof/>
          <w:sz w:val="24"/>
          <w:szCs w:val="24"/>
          <w:lang w:val="en-GB"/>
        </w:rPr>
        <w:t>.</w:t>
      </w:r>
      <w:r w:rsidR="00A47F88" w:rsidRPr="00A17D9B">
        <w:rPr>
          <w:rFonts w:ascii="Garamond" w:hAnsi="Garamond"/>
          <w:noProof/>
          <w:sz w:val="24"/>
          <w:szCs w:val="24"/>
          <w:lang w:val="en-GB"/>
        </w:rPr>
        <w:t xml:space="preserve"> Both tasks – increasing its </w:t>
      </w:r>
      <w:r w:rsidR="007C1631" w:rsidRPr="00A17D9B">
        <w:rPr>
          <w:rFonts w:ascii="Garamond" w:hAnsi="Garamond"/>
          <w:noProof/>
          <w:sz w:val="24"/>
          <w:szCs w:val="24"/>
          <w:lang w:val="en-GB"/>
        </w:rPr>
        <w:t xml:space="preserve">present </w:t>
      </w:r>
      <w:r w:rsidR="00A47F88" w:rsidRPr="00A17D9B">
        <w:rPr>
          <w:rFonts w:ascii="Garamond" w:hAnsi="Garamond"/>
          <w:noProof/>
          <w:sz w:val="24"/>
          <w:szCs w:val="24"/>
          <w:lang w:val="en-GB"/>
        </w:rPr>
        <w:t>coherence and quality</w:t>
      </w:r>
      <w:r w:rsidR="007C1631" w:rsidRPr="00A17D9B">
        <w:rPr>
          <w:rFonts w:ascii="Garamond" w:hAnsi="Garamond"/>
          <w:noProof/>
          <w:sz w:val="24"/>
          <w:szCs w:val="24"/>
          <w:lang w:val="en-GB"/>
        </w:rPr>
        <w:t>,</w:t>
      </w:r>
      <w:r w:rsidR="00A47F88" w:rsidRPr="00A17D9B">
        <w:rPr>
          <w:rFonts w:ascii="Garamond" w:hAnsi="Garamond"/>
          <w:noProof/>
          <w:sz w:val="24"/>
          <w:szCs w:val="24"/>
          <w:lang w:val="en-GB"/>
        </w:rPr>
        <w:t xml:space="preserve"> and expanding it toward</w:t>
      </w:r>
      <w:r w:rsidR="00F829AD" w:rsidRPr="00A17D9B">
        <w:rPr>
          <w:rFonts w:ascii="Garamond" w:hAnsi="Garamond"/>
          <w:noProof/>
          <w:sz w:val="24"/>
          <w:szCs w:val="24"/>
          <w:lang w:val="en-GB"/>
        </w:rPr>
        <w:t>s</w:t>
      </w:r>
      <w:r w:rsidR="00A47F88" w:rsidRPr="00A17D9B">
        <w:rPr>
          <w:rFonts w:ascii="Garamond" w:hAnsi="Garamond"/>
          <w:noProof/>
          <w:sz w:val="24"/>
          <w:szCs w:val="24"/>
          <w:lang w:val="en-GB"/>
        </w:rPr>
        <w:t xml:space="preserve"> a </w:t>
      </w:r>
      <w:r w:rsidR="00F829AD" w:rsidRPr="00A17D9B">
        <w:rPr>
          <w:rFonts w:ascii="Garamond" w:hAnsi="Garamond"/>
          <w:noProof/>
          <w:sz w:val="24"/>
          <w:szCs w:val="24"/>
          <w:lang w:val="en-GB"/>
        </w:rPr>
        <w:t xml:space="preserve">general direction – requires </w:t>
      </w:r>
      <w:r w:rsidR="00A47F88" w:rsidRPr="00A17D9B">
        <w:rPr>
          <w:rFonts w:ascii="Garamond" w:hAnsi="Garamond"/>
          <w:i/>
          <w:iCs/>
          <w:noProof/>
          <w:sz w:val="24"/>
          <w:szCs w:val="24"/>
          <w:lang w:val="en-GB"/>
        </w:rPr>
        <w:t>normative drivers of change</w:t>
      </w:r>
      <w:r w:rsidR="00F829AD" w:rsidRPr="00A17D9B">
        <w:rPr>
          <w:rFonts w:ascii="Garamond" w:hAnsi="Garamond"/>
          <w:i/>
          <w:iCs/>
          <w:noProof/>
          <w:sz w:val="24"/>
          <w:szCs w:val="24"/>
          <w:lang w:val="en-GB"/>
        </w:rPr>
        <w:t xml:space="preserve"> to be identified</w:t>
      </w:r>
      <w:r w:rsidR="005976F0" w:rsidRPr="00A17D9B">
        <w:rPr>
          <w:rFonts w:ascii="Garamond" w:hAnsi="Garamond"/>
          <w:i/>
          <w:iCs/>
          <w:noProof/>
          <w:sz w:val="24"/>
          <w:szCs w:val="24"/>
          <w:lang w:val="en-GB"/>
        </w:rPr>
        <w:t>-</w:t>
      </w:r>
      <w:r w:rsidR="00A47F88" w:rsidRPr="00A17D9B">
        <w:rPr>
          <w:rFonts w:ascii="Garamond" w:hAnsi="Garamond"/>
          <w:noProof/>
          <w:sz w:val="24"/>
          <w:szCs w:val="24"/>
          <w:lang w:val="en-GB"/>
        </w:rPr>
        <w:t xml:space="preserve"> on which to gauge the quality of </w:t>
      </w:r>
      <w:r w:rsidR="007C1631" w:rsidRPr="00A17D9B">
        <w:rPr>
          <w:rFonts w:ascii="Garamond" w:hAnsi="Garamond"/>
          <w:noProof/>
          <w:sz w:val="24"/>
          <w:szCs w:val="24"/>
          <w:lang w:val="en-GB"/>
        </w:rPr>
        <w:t xml:space="preserve">this </w:t>
      </w:r>
      <w:r w:rsidR="00A47F88" w:rsidRPr="00A17D9B">
        <w:rPr>
          <w:rFonts w:ascii="Garamond" w:hAnsi="Garamond"/>
          <w:noProof/>
          <w:sz w:val="24"/>
          <w:szCs w:val="24"/>
          <w:lang w:val="en-GB"/>
        </w:rPr>
        <w:t xml:space="preserve">governance. </w:t>
      </w:r>
    </w:p>
    <w:p w14:paraId="04C7BDDD" w14:textId="6A0BE411" w:rsidR="00D252B7" w:rsidRPr="00A17D9B" w:rsidRDefault="002B6DE9" w:rsidP="006661EE">
      <w:pPr>
        <w:jc w:val="both"/>
        <w:rPr>
          <w:rFonts w:ascii="Garamond" w:hAnsi="Garamond"/>
          <w:noProof/>
          <w:sz w:val="24"/>
          <w:szCs w:val="24"/>
          <w:lang w:val="en-GB"/>
        </w:rPr>
      </w:pPr>
      <w:r w:rsidRPr="00A17D9B">
        <w:rPr>
          <w:rFonts w:ascii="Garamond" w:hAnsi="Garamond"/>
          <w:noProof/>
          <w:sz w:val="24"/>
          <w:szCs w:val="24"/>
          <w:lang w:val="en-GB"/>
        </w:rPr>
        <w:t>On the ground of a theoretical understanding of common good dynamics</w:t>
      </w:r>
      <w:r w:rsidR="007E17EF" w:rsidRPr="00A17D9B">
        <w:rPr>
          <w:rFonts w:ascii="Garamond" w:hAnsi="Garamond"/>
          <w:noProof/>
          <w:sz w:val="24"/>
          <w:szCs w:val="24"/>
          <w:lang w:val="en-GB"/>
        </w:rPr>
        <w:t xml:space="preserve"> </w:t>
      </w:r>
      <w:r w:rsidRPr="00A17D9B">
        <w:rPr>
          <w:rFonts w:ascii="Garamond" w:hAnsi="Garamond"/>
          <w:noProof/>
          <w:sz w:val="24"/>
          <w:szCs w:val="24"/>
          <w:lang w:val="en-GB"/>
        </w:rPr>
        <w:t>on one hand</w:t>
      </w:r>
      <w:r w:rsidR="007E17EF" w:rsidRPr="00A17D9B">
        <w:rPr>
          <w:rFonts w:ascii="Garamond" w:hAnsi="Garamond"/>
          <w:noProof/>
          <w:sz w:val="24"/>
          <w:szCs w:val="24"/>
          <w:lang w:val="en-GB"/>
        </w:rPr>
        <w:t>,</w:t>
      </w:r>
      <w:r w:rsidR="007C1631" w:rsidRPr="00A17D9B">
        <w:rPr>
          <w:rStyle w:val="Refdenotaalpie"/>
          <w:rFonts w:ascii="Garamond" w:hAnsi="Garamond"/>
          <w:noProof/>
          <w:sz w:val="24"/>
          <w:szCs w:val="24"/>
          <w:lang w:val="en-GB"/>
        </w:rPr>
        <w:t xml:space="preserve"> </w:t>
      </w:r>
      <w:r w:rsidR="007C1631" w:rsidRPr="00A17D9B">
        <w:rPr>
          <w:rFonts w:ascii="Garamond" w:hAnsi="Garamond"/>
          <w:noProof/>
          <w:sz w:val="24"/>
          <w:szCs w:val="24"/>
          <w:lang w:val="en-GB"/>
        </w:rPr>
        <w:t>(Nebel 2018a)</w:t>
      </w:r>
      <w:r w:rsidRPr="00A17D9B">
        <w:rPr>
          <w:rFonts w:ascii="Garamond" w:hAnsi="Garamond"/>
          <w:noProof/>
          <w:sz w:val="24"/>
          <w:szCs w:val="24"/>
          <w:lang w:val="en-GB"/>
        </w:rPr>
        <w:t xml:space="preserve"> and </w:t>
      </w:r>
      <w:r w:rsidR="00606918" w:rsidRPr="00A17D9B">
        <w:rPr>
          <w:rFonts w:ascii="Garamond" w:hAnsi="Garamond"/>
          <w:noProof/>
          <w:sz w:val="24"/>
          <w:szCs w:val="24"/>
          <w:lang w:val="en-GB"/>
        </w:rPr>
        <w:t>a vast corpus of empirical evidence on the other</w:t>
      </w:r>
      <w:r w:rsidR="007E17EF" w:rsidRPr="00A17D9B">
        <w:rPr>
          <w:rFonts w:ascii="Garamond" w:hAnsi="Garamond"/>
          <w:noProof/>
          <w:sz w:val="24"/>
          <w:szCs w:val="24"/>
          <w:lang w:val="en-GB"/>
        </w:rPr>
        <w:t>,</w:t>
      </w:r>
      <w:r w:rsidR="00606918" w:rsidRPr="00A17D9B">
        <w:rPr>
          <w:rStyle w:val="Refdenotaalpie"/>
          <w:rFonts w:ascii="Garamond" w:hAnsi="Garamond"/>
          <w:noProof/>
          <w:sz w:val="24"/>
          <w:szCs w:val="24"/>
          <w:lang w:val="en-GB"/>
        </w:rPr>
        <w:footnoteReference w:id="5"/>
      </w:r>
      <w:r w:rsidR="00606918" w:rsidRPr="00A17D9B">
        <w:rPr>
          <w:rFonts w:ascii="Garamond" w:hAnsi="Garamond"/>
          <w:noProof/>
          <w:sz w:val="24"/>
          <w:szCs w:val="24"/>
          <w:lang w:val="en-GB"/>
        </w:rPr>
        <w:t xml:space="preserve"> we propose the following matrix of common good dynamics. Five key normative drivers are identified: </w:t>
      </w:r>
      <w:r w:rsidR="00606918" w:rsidRPr="00A17D9B">
        <w:rPr>
          <w:rFonts w:ascii="Garamond" w:hAnsi="Garamond"/>
          <w:i/>
          <w:iCs/>
          <w:noProof/>
          <w:sz w:val="24"/>
          <w:szCs w:val="24"/>
          <w:lang w:val="en-GB"/>
        </w:rPr>
        <w:t>collective agency freedom</w:t>
      </w:r>
      <w:r w:rsidR="00606918" w:rsidRPr="00A17D9B">
        <w:rPr>
          <w:rFonts w:ascii="Garamond" w:hAnsi="Garamond"/>
          <w:noProof/>
          <w:sz w:val="24"/>
          <w:szCs w:val="24"/>
          <w:lang w:val="en-GB"/>
        </w:rPr>
        <w:t xml:space="preserve"> as the main engine of common good dynamics; </w:t>
      </w:r>
      <w:r w:rsidR="00606918" w:rsidRPr="00A17D9B">
        <w:rPr>
          <w:rFonts w:ascii="Garamond" w:hAnsi="Garamond"/>
          <w:i/>
          <w:iCs/>
          <w:noProof/>
          <w:sz w:val="24"/>
          <w:szCs w:val="24"/>
          <w:lang w:val="en-GB"/>
        </w:rPr>
        <w:t>humanity</w:t>
      </w:r>
      <w:r w:rsidR="00606918" w:rsidRPr="00A17D9B">
        <w:rPr>
          <w:rFonts w:ascii="Garamond" w:hAnsi="Garamond"/>
          <w:noProof/>
          <w:sz w:val="24"/>
          <w:szCs w:val="24"/>
          <w:lang w:val="en-GB"/>
        </w:rPr>
        <w:t xml:space="preserve"> is seen as the normative horizon toward which common good dynamics should aim at; while </w:t>
      </w:r>
      <w:r w:rsidR="00606918" w:rsidRPr="00A17D9B">
        <w:rPr>
          <w:rFonts w:ascii="Garamond" w:hAnsi="Garamond"/>
          <w:i/>
          <w:iCs/>
          <w:noProof/>
          <w:sz w:val="24"/>
          <w:szCs w:val="24"/>
          <w:lang w:val="en-GB"/>
        </w:rPr>
        <w:t>governance</w:t>
      </w:r>
      <w:r w:rsidR="00606918" w:rsidRPr="00A17D9B">
        <w:rPr>
          <w:rFonts w:ascii="Garamond" w:hAnsi="Garamond"/>
          <w:noProof/>
          <w:sz w:val="24"/>
          <w:szCs w:val="24"/>
          <w:lang w:val="en-GB"/>
        </w:rPr>
        <w:t xml:space="preserve">, </w:t>
      </w:r>
      <w:r w:rsidR="00606918" w:rsidRPr="00A17D9B">
        <w:rPr>
          <w:rFonts w:ascii="Garamond" w:hAnsi="Garamond"/>
          <w:i/>
          <w:iCs/>
          <w:noProof/>
          <w:sz w:val="24"/>
          <w:szCs w:val="24"/>
          <w:lang w:val="en-GB"/>
        </w:rPr>
        <w:t>justice</w:t>
      </w:r>
      <w:r w:rsidR="00606918" w:rsidRPr="00A17D9B">
        <w:rPr>
          <w:rFonts w:ascii="Garamond" w:hAnsi="Garamond"/>
          <w:noProof/>
          <w:sz w:val="24"/>
          <w:szCs w:val="24"/>
          <w:lang w:val="en-GB"/>
        </w:rPr>
        <w:t xml:space="preserve"> and </w:t>
      </w:r>
      <w:r w:rsidR="00606918" w:rsidRPr="00A17D9B">
        <w:rPr>
          <w:rFonts w:ascii="Garamond" w:hAnsi="Garamond"/>
          <w:i/>
          <w:iCs/>
          <w:noProof/>
          <w:sz w:val="24"/>
          <w:szCs w:val="24"/>
          <w:lang w:val="en-GB"/>
        </w:rPr>
        <w:t>stability</w:t>
      </w:r>
      <w:r w:rsidR="00606918" w:rsidRPr="00A17D9B">
        <w:rPr>
          <w:rFonts w:ascii="Garamond" w:hAnsi="Garamond"/>
          <w:noProof/>
          <w:sz w:val="24"/>
          <w:szCs w:val="24"/>
          <w:lang w:val="en-GB"/>
        </w:rPr>
        <w:t xml:space="preserve"> are seen as </w:t>
      </w:r>
      <w:r w:rsidR="00832FFA" w:rsidRPr="00A17D9B">
        <w:rPr>
          <w:rFonts w:ascii="Garamond" w:hAnsi="Garamond"/>
          <w:noProof/>
          <w:sz w:val="24"/>
          <w:szCs w:val="24"/>
          <w:lang w:val="en-GB"/>
        </w:rPr>
        <w:t>social function</w:t>
      </w:r>
      <w:r w:rsidR="007E17EF" w:rsidRPr="00A17D9B">
        <w:rPr>
          <w:rFonts w:ascii="Garamond" w:hAnsi="Garamond"/>
          <w:noProof/>
          <w:sz w:val="24"/>
          <w:szCs w:val="24"/>
          <w:lang w:val="en-GB"/>
        </w:rPr>
        <w:t>s</w:t>
      </w:r>
      <w:r w:rsidR="00832FFA" w:rsidRPr="00A17D9B">
        <w:rPr>
          <w:rFonts w:ascii="Garamond" w:hAnsi="Garamond"/>
          <w:noProof/>
          <w:sz w:val="24"/>
          <w:szCs w:val="24"/>
          <w:lang w:val="en-GB"/>
        </w:rPr>
        <w:t xml:space="preserve"> structuring the nexus</w:t>
      </w:r>
      <w:r w:rsidR="00606918" w:rsidRPr="00A17D9B">
        <w:rPr>
          <w:rFonts w:ascii="Garamond" w:hAnsi="Garamond"/>
          <w:noProof/>
          <w:sz w:val="24"/>
          <w:szCs w:val="24"/>
          <w:lang w:val="en-GB"/>
        </w:rPr>
        <w:t xml:space="preserve"> </w:t>
      </w:r>
      <w:r w:rsidR="00832FFA" w:rsidRPr="00A17D9B">
        <w:rPr>
          <w:rFonts w:ascii="Garamond" w:hAnsi="Garamond"/>
          <w:noProof/>
          <w:sz w:val="24"/>
          <w:szCs w:val="24"/>
          <w:lang w:val="en-GB"/>
        </w:rPr>
        <w:t xml:space="preserve">and </w:t>
      </w:r>
      <w:r w:rsidR="007E17EF" w:rsidRPr="00A17D9B">
        <w:rPr>
          <w:rFonts w:ascii="Garamond" w:hAnsi="Garamond"/>
          <w:noProof/>
          <w:sz w:val="24"/>
          <w:szCs w:val="24"/>
          <w:lang w:val="en-GB"/>
        </w:rPr>
        <w:t>driving</w:t>
      </w:r>
      <w:r w:rsidR="00606918" w:rsidRPr="00A17D9B">
        <w:rPr>
          <w:rFonts w:ascii="Garamond" w:hAnsi="Garamond"/>
          <w:noProof/>
          <w:sz w:val="24"/>
          <w:szCs w:val="24"/>
          <w:lang w:val="en-GB"/>
        </w:rPr>
        <w:t xml:space="preserve"> </w:t>
      </w:r>
      <w:r w:rsidR="00832FFA" w:rsidRPr="00A17D9B">
        <w:rPr>
          <w:rFonts w:ascii="Garamond" w:hAnsi="Garamond"/>
          <w:noProof/>
          <w:sz w:val="24"/>
          <w:szCs w:val="24"/>
          <w:lang w:val="en-GB"/>
        </w:rPr>
        <w:t xml:space="preserve">it </w:t>
      </w:r>
      <w:r w:rsidR="00606918" w:rsidRPr="00A17D9B">
        <w:rPr>
          <w:rFonts w:ascii="Garamond" w:hAnsi="Garamond"/>
          <w:noProof/>
          <w:sz w:val="24"/>
          <w:szCs w:val="24"/>
          <w:lang w:val="en-GB"/>
        </w:rPr>
        <w:t>toward a deeper and broader human coherence. Together, these five normative drivers are required to generate social process</w:t>
      </w:r>
      <w:r w:rsidR="007E17EF" w:rsidRPr="00A17D9B">
        <w:rPr>
          <w:rFonts w:ascii="Garamond" w:hAnsi="Garamond"/>
          <w:noProof/>
          <w:sz w:val="24"/>
          <w:szCs w:val="24"/>
          <w:lang w:val="en-GB"/>
        </w:rPr>
        <w:t>es</w:t>
      </w:r>
      <w:r w:rsidR="00606918" w:rsidRPr="00A17D9B">
        <w:rPr>
          <w:rFonts w:ascii="Garamond" w:hAnsi="Garamond"/>
          <w:noProof/>
          <w:sz w:val="24"/>
          <w:szCs w:val="24"/>
          <w:lang w:val="en-GB"/>
        </w:rPr>
        <w:t xml:space="preserve"> that work toward a more human coexistence in a nexus. </w:t>
      </w:r>
    </w:p>
    <w:p w14:paraId="117709D4" w14:textId="1EDE5922" w:rsidR="007623CF" w:rsidRPr="00A17D9B" w:rsidRDefault="007623CF" w:rsidP="006661EE">
      <w:pPr>
        <w:jc w:val="both"/>
        <w:rPr>
          <w:rFonts w:ascii="Garamond" w:hAnsi="Garamond"/>
          <w:i/>
          <w:iCs/>
          <w:noProof/>
          <w:sz w:val="24"/>
          <w:szCs w:val="24"/>
          <w:lang w:val="en-GB"/>
        </w:rPr>
      </w:pPr>
      <w:r w:rsidRPr="00A17D9B">
        <w:rPr>
          <w:rFonts w:ascii="Garamond" w:hAnsi="Garamond"/>
          <w:i/>
          <w:iCs/>
          <w:noProof/>
          <w:sz w:val="24"/>
          <w:szCs w:val="24"/>
          <w:lang w:val="en-GB"/>
        </w:rPr>
        <w:t>Figure 1. The matrix of common good dynamics</w:t>
      </w:r>
    </w:p>
    <w:p w14:paraId="488ED96A" w14:textId="4CD7994F" w:rsidR="006661EE" w:rsidRPr="00A17D9B" w:rsidRDefault="00EA34CA" w:rsidP="006661EE">
      <w:pPr>
        <w:jc w:val="both"/>
        <w:rPr>
          <w:rFonts w:ascii="Garamond" w:hAnsi="Garamond"/>
          <w:noProof/>
          <w:sz w:val="26"/>
          <w:szCs w:val="26"/>
          <w:lang w:val="en-GB"/>
        </w:rPr>
      </w:pPr>
      <w:bookmarkStart w:id="0" w:name="_Hlk44587206"/>
      <w:r w:rsidRPr="00A17D9B">
        <w:rPr>
          <w:noProof/>
        </w:rPr>
        <w:drawing>
          <wp:inline distT="0" distB="0" distL="0" distR="0" wp14:anchorId="06215906" wp14:editId="67581AE1">
            <wp:extent cx="5612130" cy="2776855"/>
            <wp:effectExtent l="0" t="0" r="762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2776855"/>
                    </a:xfrm>
                    <a:prstGeom prst="rect">
                      <a:avLst/>
                    </a:prstGeom>
                  </pic:spPr>
                </pic:pic>
              </a:graphicData>
            </a:graphic>
          </wp:inline>
        </w:drawing>
      </w:r>
      <w:r w:rsidR="00DF37B6" w:rsidRPr="00A17D9B">
        <w:rPr>
          <w:rFonts w:ascii="Garamond" w:hAnsi="Garamond"/>
          <w:noProof/>
          <w:sz w:val="26"/>
          <w:szCs w:val="26"/>
          <w:lang w:val="en-GB"/>
        </w:rPr>
        <w:t xml:space="preserve"> </w:t>
      </w:r>
    </w:p>
    <w:bookmarkEnd w:id="0"/>
    <w:p w14:paraId="7663AE32" w14:textId="47D7F915" w:rsidR="003A0863" w:rsidRPr="00A17D9B" w:rsidRDefault="007E17EF" w:rsidP="00EA34CA">
      <w:pPr>
        <w:pStyle w:val="Subttulo"/>
        <w:rPr>
          <w:noProof/>
          <w:lang w:val="en-GB"/>
        </w:rPr>
      </w:pPr>
      <w:r w:rsidRPr="00A17D9B">
        <w:rPr>
          <w:noProof/>
          <w:lang w:val="en-GB"/>
        </w:rPr>
        <w:t>Description of the Key Drivers of Common Good D</w:t>
      </w:r>
      <w:r w:rsidR="00DF37B6" w:rsidRPr="00A17D9B">
        <w:rPr>
          <w:noProof/>
          <w:lang w:val="en-GB"/>
        </w:rPr>
        <w:t>ynamics</w:t>
      </w:r>
    </w:p>
    <w:p w14:paraId="2677B30F" w14:textId="2B92A1DD" w:rsidR="006E435B" w:rsidRPr="00A17D9B" w:rsidRDefault="006E435B" w:rsidP="006E435B">
      <w:pPr>
        <w:spacing w:before="120" w:line="320" w:lineRule="atLeast"/>
        <w:jc w:val="both"/>
        <w:rPr>
          <w:rFonts w:ascii="Garamond" w:eastAsia="Garamond" w:hAnsi="Garamond" w:cs="Garamond"/>
          <w:noProof/>
          <w:sz w:val="24"/>
          <w:szCs w:val="24"/>
          <w:lang w:val="en-GB"/>
        </w:rPr>
      </w:pPr>
      <w:r w:rsidRPr="00A17D9B">
        <w:rPr>
          <w:rFonts w:ascii="Garamond" w:eastAsia="Garamond" w:hAnsi="Garamond" w:cs="Garamond"/>
          <w:noProof/>
          <w:sz w:val="24"/>
          <w:szCs w:val="24"/>
          <w:lang w:val="en-GB"/>
        </w:rPr>
        <w:lastRenderedPageBreak/>
        <w:t xml:space="preserve">The normative role of each dimension is specific. </w:t>
      </w:r>
      <w:r w:rsidR="00733D87" w:rsidRPr="00A17D9B">
        <w:rPr>
          <w:rFonts w:ascii="Garamond" w:eastAsia="Garamond" w:hAnsi="Garamond" w:cs="Garamond"/>
          <w:noProof/>
          <w:sz w:val="24"/>
          <w:szCs w:val="24"/>
          <w:lang w:val="en-GB"/>
        </w:rPr>
        <w:t>‘Colective agency freedom’</w:t>
      </w:r>
      <w:r w:rsidRPr="00A17D9B">
        <w:rPr>
          <w:rFonts w:ascii="Garamond" w:eastAsia="Garamond" w:hAnsi="Garamond" w:cs="Garamond"/>
          <w:noProof/>
          <w:sz w:val="24"/>
          <w:szCs w:val="24"/>
          <w:lang w:val="en-GB"/>
        </w:rPr>
        <w:t xml:space="preserve"> may be understood as the </w:t>
      </w:r>
      <w:r w:rsidRPr="00A17D9B">
        <w:rPr>
          <w:rFonts w:ascii="Garamond" w:eastAsia="Garamond" w:hAnsi="Garamond" w:cs="Garamond"/>
          <w:i/>
          <w:iCs/>
          <w:noProof/>
          <w:sz w:val="24"/>
          <w:szCs w:val="24"/>
          <w:lang w:val="en-GB"/>
        </w:rPr>
        <w:t>systemic precondition</w:t>
      </w:r>
      <w:r w:rsidRPr="00A17D9B">
        <w:rPr>
          <w:rFonts w:ascii="Garamond" w:eastAsia="Garamond" w:hAnsi="Garamond" w:cs="Garamond"/>
          <w:noProof/>
          <w:sz w:val="24"/>
          <w:szCs w:val="24"/>
          <w:lang w:val="en-GB"/>
        </w:rPr>
        <w:t xml:space="preserve"> of common good dynamics, i.e. the efficient causality of the nexus. </w:t>
      </w:r>
      <w:r w:rsidR="00733D87" w:rsidRPr="00A17D9B">
        <w:rPr>
          <w:rFonts w:ascii="Garamond" w:eastAsia="Garamond" w:hAnsi="Garamond" w:cs="Garamond"/>
          <w:noProof/>
          <w:sz w:val="24"/>
          <w:szCs w:val="24"/>
          <w:lang w:val="en-GB"/>
        </w:rPr>
        <w:t>‘</w:t>
      </w:r>
      <w:r w:rsidR="007E17EF" w:rsidRPr="00A17D9B">
        <w:rPr>
          <w:rFonts w:ascii="Garamond" w:eastAsia="Garamond" w:hAnsi="Garamond" w:cs="Garamond"/>
          <w:noProof/>
          <w:sz w:val="24"/>
          <w:szCs w:val="24"/>
          <w:lang w:val="en-GB"/>
        </w:rPr>
        <w:t>Justice, stability and g</w:t>
      </w:r>
      <w:r w:rsidRPr="00A17D9B">
        <w:rPr>
          <w:rFonts w:ascii="Garamond" w:eastAsia="Garamond" w:hAnsi="Garamond" w:cs="Garamond"/>
          <w:noProof/>
          <w:sz w:val="24"/>
          <w:szCs w:val="24"/>
          <w:lang w:val="en-GB"/>
        </w:rPr>
        <w:t>overnance</w:t>
      </w:r>
      <w:r w:rsidR="007E17EF" w:rsidRPr="00A17D9B">
        <w:rPr>
          <w:rFonts w:ascii="Garamond" w:eastAsia="Garamond" w:hAnsi="Garamond" w:cs="Garamond"/>
          <w:noProof/>
          <w:sz w:val="24"/>
          <w:szCs w:val="24"/>
          <w:lang w:val="en-GB"/>
        </w:rPr>
        <w:t xml:space="preserve"> describe</w:t>
      </w:r>
      <w:r w:rsidRPr="00A17D9B">
        <w:rPr>
          <w:rFonts w:ascii="Garamond" w:eastAsia="Garamond" w:hAnsi="Garamond" w:cs="Garamond"/>
          <w:noProof/>
          <w:sz w:val="24"/>
          <w:szCs w:val="24"/>
          <w:lang w:val="en-GB"/>
        </w:rPr>
        <w:t xml:space="preserve"> key </w:t>
      </w:r>
      <w:r w:rsidRPr="00A17D9B">
        <w:rPr>
          <w:rFonts w:ascii="Garamond" w:eastAsia="Garamond" w:hAnsi="Garamond" w:cs="Garamond"/>
          <w:i/>
          <w:iCs/>
          <w:noProof/>
          <w:sz w:val="24"/>
          <w:szCs w:val="24"/>
          <w:lang w:val="en-GB"/>
        </w:rPr>
        <w:t>systemic</w:t>
      </w:r>
      <w:r w:rsidRPr="00A17D9B">
        <w:rPr>
          <w:rFonts w:ascii="Garamond" w:eastAsia="Garamond" w:hAnsi="Garamond" w:cs="Garamond"/>
          <w:noProof/>
          <w:sz w:val="24"/>
          <w:szCs w:val="24"/>
          <w:lang w:val="en-GB"/>
        </w:rPr>
        <w:t xml:space="preserve"> </w:t>
      </w:r>
      <w:r w:rsidRPr="00A17D9B">
        <w:rPr>
          <w:rFonts w:ascii="Garamond" w:eastAsia="Garamond" w:hAnsi="Garamond" w:cs="Garamond"/>
          <w:i/>
          <w:iCs/>
          <w:noProof/>
          <w:sz w:val="24"/>
          <w:szCs w:val="24"/>
          <w:lang w:val="en-GB"/>
        </w:rPr>
        <w:t>social functions</w:t>
      </w:r>
      <w:r w:rsidRPr="00A17D9B">
        <w:rPr>
          <w:rFonts w:ascii="Garamond" w:eastAsia="Garamond" w:hAnsi="Garamond" w:cs="Garamond"/>
          <w:noProof/>
          <w:sz w:val="24"/>
          <w:szCs w:val="24"/>
          <w:lang w:val="en-GB"/>
        </w:rPr>
        <w:t xml:space="preserve"> organizing the dynamic and required to lead the nexus toward</w:t>
      </w:r>
      <w:r w:rsidR="007E17EF" w:rsidRPr="00A17D9B">
        <w:rPr>
          <w:rFonts w:ascii="Garamond" w:eastAsia="Garamond" w:hAnsi="Garamond" w:cs="Garamond"/>
          <w:noProof/>
          <w:sz w:val="24"/>
          <w:szCs w:val="24"/>
          <w:lang w:val="en-GB"/>
        </w:rPr>
        <w:t>s the universal common good;</w:t>
      </w:r>
      <w:r w:rsidRPr="00A17D9B">
        <w:rPr>
          <w:rFonts w:ascii="Garamond" w:eastAsia="Garamond" w:hAnsi="Garamond" w:cs="Garamond"/>
          <w:noProof/>
          <w:sz w:val="24"/>
          <w:szCs w:val="24"/>
          <w:lang w:val="en-GB"/>
        </w:rPr>
        <w:t xml:space="preserve"> social functions, in other </w:t>
      </w:r>
      <w:r w:rsidR="00733D87" w:rsidRPr="00A17D9B">
        <w:rPr>
          <w:rFonts w:ascii="Garamond" w:eastAsia="Garamond" w:hAnsi="Garamond" w:cs="Garamond"/>
          <w:noProof/>
          <w:sz w:val="24"/>
          <w:szCs w:val="24"/>
          <w:lang w:val="en-GB"/>
        </w:rPr>
        <w:t>terms</w:t>
      </w:r>
      <w:r w:rsidR="007E17EF" w:rsidRPr="00A17D9B">
        <w:rPr>
          <w:rFonts w:ascii="Garamond" w:eastAsia="Garamond" w:hAnsi="Garamond" w:cs="Garamond"/>
          <w:noProof/>
          <w:sz w:val="24"/>
          <w:szCs w:val="24"/>
          <w:lang w:val="en-GB"/>
        </w:rPr>
        <w:t>,</w:t>
      </w:r>
      <w:r w:rsidRPr="00A17D9B">
        <w:rPr>
          <w:rFonts w:ascii="Garamond" w:eastAsia="Garamond" w:hAnsi="Garamond" w:cs="Garamond"/>
          <w:noProof/>
          <w:sz w:val="24"/>
          <w:szCs w:val="24"/>
          <w:lang w:val="en-GB"/>
        </w:rPr>
        <w:t xml:space="preserve"> that are normatively bound to the achievement of the common good (formal causality). Finally, humanity refers to the </w:t>
      </w:r>
      <w:r w:rsidRPr="00A17D9B">
        <w:rPr>
          <w:rFonts w:ascii="Garamond" w:eastAsia="Garamond" w:hAnsi="Garamond" w:cs="Garamond"/>
          <w:i/>
          <w:iCs/>
          <w:noProof/>
          <w:sz w:val="24"/>
          <w:szCs w:val="24"/>
          <w:lang w:val="en-GB"/>
        </w:rPr>
        <w:t>systemic achievement</w:t>
      </w:r>
      <w:r w:rsidRPr="00A17D9B">
        <w:rPr>
          <w:rFonts w:ascii="Garamond" w:eastAsia="Garamond" w:hAnsi="Garamond" w:cs="Garamond"/>
          <w:noProof/>
          <w:sz w:val="24"/>
          <w:szCs w:val="24"/>
          <w:lang w:val="en-GB"/>
        </w:rPr>
        <w:t xml:space="preserve"> of common good dynamics (end causality). </w:t>
      </w:r>
    </w:p>
    <w:p w14:paraId="4DD11FC7" w14:textId="474E1BC8" w:rsidR="00BD5D02" w:rsidRPr="00A17D9B" w:rsidRDefault="00EA34CA" w:rsidP="006E435B">
      <w:pPr>
        <w:spacing w:before="120" w:line="320" w:lineRule="atLeast"/>
        <w:jc w:val="both"/>
        <w:rPr>
          <w:rFonts w:ascii="Garamond" w:eastAsia="Garamond" w:hAnsi="Garamond" w:cs="Garamond"/>
          <w:i/>
          <w:iCs/>
          <w:noProof/>
          <w:sz w:val="24"/>
          <w:szCs w:val="24"/>
          <w:lang w:val="en-GB"/>
        </w:rPr>
      </w:pPr>
      <w:r w:rsidRPr="00A17D9B">
        <w:rPr>
          <w:rFonts w:ascii="Garamond" w:eastAsia="Garamond" w:hAnsi="Garamond" w:cs="Garamond"/>
          <w:noProof/>
          <w:sz w:val="24"/>
          <w:szCs w:val="24"/>
          <w:lang w:val="en-GB"/>
        </w:rPr>
        <w:t xml:space="preserve"> </w:t>
      </w:r>
      <w:r w:rsidR="006E435B" w:rsidRPr="00A17D9B">
        <w:rPr>
          <w:rFonts w:ascii="Garamond" w:eastAsia="Garamond" w:hAnsi="Garamond" w:cs="Garamond"/>
          <w:noProof/>
          <w:sz w:val="24"/>
          <w:szCs w:val="24"/>
          <w:lang w:val="en-GB"/>
        </w:rPr>
        <w:t xml:space="preserve">‘Collective agency freedom’ refers to the overall </w:t>
      </w:r>
      <w:r w:rsidRPr="00A17D9B">
        <w:rPr>
          <w:rFonts w:ascii="Garamond" w:eastAsia="Garamond" w:hAnsi="Garamond" w:cs="Garamond"/>
          <w:noProof/>
          <w:sz w:val="24"/>
          <w:szCs w:val="24"/>
          <w:lang w:val="en-GB"/>
        </w:rPr>
        <w:t>capability</w:t>
      </w:r>
      <w:r w:rsidR="006E435B" w:rsidRPr="00A17D9B">
        <w:rPr>
          <w:rFonts w:ascii="Garamond" w:eastAsia="Garamond" w:hAnsi="Garamond" w:cs="Garamond"/>
          <w:noProof/>
          <w:sz w:val="24"/>
          <w:szCs w:val="24"/>
          <w:lang w:val="en-GB"/>
        </w:rPr>
        <w:t xml:space="preserve"> of </w:t>
      </w:r>
      <w:r w:rsidR="00733D87" w:rsidRPr="00A17D9B">
        <w:rPr>
          <w:rFonts w:ascii="Garamond" w:eastAsia="Garamond" w:hAnsi="Garamond" w:cs="Garamond"/>
          <w:noProof/>
          <w:sz w:val="24"/>
          <w:szCs w:val="24"/>
          <w:lang w:val="en-GB"/>
        </w:rPr>
        <w:t xml:space="preserve">a </w:t>
      </w:r>
      <w:r w:rsidR="006E435B" w:rsidRPr="00A17D9B">
        <w:rPr>
          <w:rFonts w:ascii="Garamond" w:eastAsia="Garamond" w:hAnsi="Garamond" w:cs="Garamond"/>
          <w:noProof/>
          <w:sz w:val="24"/>
          <w:szCs w:val="24"/>
          <w:lang w:val="en-GB"/>
        </w:rPr>
        <w:t>nexus population to</w:t>
      </w:r>
      <w:r w:rsidR="006E435B" w:rsidRPr="00A17D9B">
        <w:rPr>
          <w:rFonts w:ascii="Garamond" w:eastAsia="Garamond" w:hAnsi="Garamond" w:cs="Garamond"/>
          <w:i/>
          <w:iCs/>
          <w:noProof/>
          <w:sz w:val="24"/>
          <w:szCs w:val="24"/>
          <w:lang w:val="en-GB"/>
        </w:rPr>
        <w:t xml:space="preserve"> engage with others and </w:t>
      </w:r>
      <w:r w:rsidR="007E17EF" w:rsidRPr="00A17D9B">
        <w:rPr>
          <w:rFonts w:ascii="Garamond" w:eastAsia="Garamond" w:hAnsi="Garamond" w:cs="Garamond"/>
          <w:i/>
          <w:iCs/>
          <w:noProof/>
          <w:sz w:val="24"/>
          <w:szCs w:val="24"/>
          <w:lang w:val="en-GB"/>
        </w:rPr>
        <w:t>act together freely, aiding with</w:t>
      </w:r>
      <w:r w:rsidR="006E435B" w:rsidRPr="00A17D9B">
        <w:rPr>
          <w:rFonts w:ascii="Garamond" w:eastAsia="Garamond" w:hAnsi="Garamond" w:cs="Garamond"/>
          <w:i/>
          <w:iCs/>
          <w:noProof/>
          <w:sz w:val="24"/>
          <w:szCs w:val="24"/>
          <w:lang w:val="en-GB"/>
        </w:rPr>
        <w:t xml:space="preserve"> the consecution of social goods. </w:t>
      </w:r>
      <w:r w:rsidR="006E435B" w:rsidRPr="00A17D9B">
        <w:rPr>
          <w:rFonts w:ascii="Garamond" w:eastAsia="Garamond" w:hAnsi="Garamond" w:cs="Garamond"/>
          <w:noProof/>
          <w:sz w:val="24"/>
          <w:szCs w:val="24"/>
          <w:lang w:val="en-GB"/>
        </w:rPr>
        <w:t>It is the collective capability to act together and give</w:t>
      </w:r>
      <w:r w:rsidR="007E17EF" w:rsidRPr="00A17D9B">
        <w:rPr>
          <w:rFonts w:ascii="Garamond" w:eastAsia="Garamond" w:hAnsi="Garamond" w:cs="Garamond"/>
          <w:noProof/>
          <w:sz w:val="24"/>
          <w:szCs w:val="24"/>
          <w:lang w:val="en-GB"/>
        </w:rPr>
        <w:t xml:space="preserve"> a</w:t>
      </w:r>
      <w:r w:rsidR="006E435B" w:rsidRPr="00A17D9B">
        <w:rPr>
          <w:rFonts w:ascii="Garamond" w:eastAsia="Garamond" w:hAnsi="Garamond" w:cs="Garamond"/>
          <w:noProof/>
          <w:sz w:val="24"/>
          <w:szCs w:val="24"/>
          <w:lang w:val="en-GB"/>
        </w:rPr>
        <w:t xml:space="preserve"> solution to common problems. This capability is embedded in various formal and informal institutions structuring the nexus.</w:t>
      </w:r>
      <w:r w:rsidR="006E435B" w:rsidRPr="00A17D9B">
        <w:rPr>
          <w:rFonts w:ascii="Garamond" w:eastAsia="Garamond" w:hAnsi="Garamond" w:cs="Garamond"/>
          <w:i/>
          <w:iCs/>
          <w:noProof/>
          <w:sz w:val="24"/>
          <w:szCs w:val="24"/>
          <w:lang w:val="en-GB"/>
        </w:rPr>
        <w:t xml:space="preserve"> </w:t>
      </w:r>
    </w:p>
    <w:p w14:paraId="1BB55921" w14:textId="7B3C1FF5" w:rsidR="00BD5D02" w:rsidRPr="00A17D9B" w:rsidRDefault="00EA34CA" w:rsidP="006E435B">
      <w:pPr>
        <w:spacing w:before="120" w:line="320" w:lineRule="atLeast"/>
        <w:jc w:val="both"/>
        <w:rPr>
          <w:noProof/>
          <w:sz w:val="24"/>
          <w:szCs w:val="24"/>
          <w:lang w:val="en-GB"/>
        </w:rPr>
      </w:pPr>
      <w:r w:rsidRPr="00A17D9B">
        <w:rPr>
          <w:rFonts w:ascii="Garamond" w:eastAsia="Garamond" w:hAnsi="Garamond" w:cs="Garamond"/>
          <w:noProof/>
          <w:sz w:val="24"/>
          <w:szCs w:val="24"/>
          <w:lang w:val="en-GB"/>
        </w:rPr>
        <w:t>T</w:t>
      </w:r>
      <w:r w:rsidR="006E435B" w:rsidRPr="00A17D9B">
        <w:rPr>
          <w:rFonts w:ascii="Garamond" w:eastAsia="Garamond" w:hAnsi="Garamond" w:cs="Garamond"/>
          <w:noProof/>
          <w:sz w:val="24"/>
          <w:szCs w:val="24"/>
          <w:lang w:val="en-GB"/>
        </w:rPr>
        <w:t xml:space="preserve">hree </w:t>
      </w:r>
      <w:r w:rsidRPr="00A17D9B">
        <w:rPr>
          <w:rFonts w:ascii="Garamond" w:eastAsia="Garamond" w:hAnsi="Garamond" w:cs="Garamond"/>
          <w:noProof/>
          <w:sz w:val="24"/>
          <w:szCs w:val="24"/>
          <w:lang w:val="en-GB"/>
        </w:rPr>
        <w:t xml:space="preserve">core </w:t>
      </w:r>
      <w:r w:rsidR="006E435B" w:rsidRPr="00A17D9B">
        <w:rPr>
          <w:rFonts w:ascii="Garamond" w:eastAsia="Garamond" w:hAnsi="Garamond" w:cs="Garamond"/>
          <w:noProof/>
          <w:sz w:val="24"/>
          <w:szCs w:val="24"/>
          <w:lang w:val="en-GB"/>
        </w:rPr>
        <w:t xml:space="preserve">systemic social functions </w:t>
      </w:r>
      <w:r w:rsidRPr="00A17D9B">
        <w:rPr>
          <w:rFonts w:ascii="Garamond" w:eastAsia="Garamond" w:hAnsi="Garamond" w:cs="Garamond"/>
          <w:noProof/>
          <w:sz w:val="24"/>
          <w:szCs w:val="24"/>
          <w:lang w:val="en-GB"/>
        </w:rPr>
        <w:t>are seen as structuring the nexus</w:t>
      </w:r>
      <w:r w:rsidR="006E435B" w:rsidRPr="00A17D9B">
        <w:rPr>
          <w:rFonts w:ascii="Garamond" w:eastAsia="Garamond" w:hAnsi="Garamond" w:cs="Garamond"/>
          <w:noProof/>
          <w:sz w:val="24"/>
          <w:szCs w:val="24"/>
          <w:lang w:val="en-GB"/>
        </w:rPr>
        <w:t>:</w:t>
      </w:r>
      <w:r w:rsidR="006E435B" w:rsidRPr="00A17D9B">
        <w:rPr>
          <w:rFonts w:ascii="Garamond" w:eastAsia="Garamond" w:hAnsi="Garamond" w:cs="Garamond"/>
          <w:i/>
          <w:iCs/>
          <w:noProof/>
          <w:sz w:val="24"/>
          <w:szCs w:val="24"/>
          <w:lang w:val="en-GB"/>
        </w:rPr>
        <w:t xml:space="preserve"> </w:t>
      </w:r>
      <w:r w:rsidR="006E435B" w:rsidRPr="00A17D9B">
        <w:rPr>
          <w:rFonts w:ascii="Garamond" w:eastAsia="Garamond" w:hAnsi="Garamond" w:cs="Garamond"/>
          <w:noProof/>
          <w:sz w:val="24"/>
          <w:szCs w:val="24"/>
          <w:lang w:val="en-GB"/>
        </w:rPr>
        <w:t>(a) ‘</w:t>
      </w:r>
      <w:r w:rsidR="006E435B" w:rsidRPr="00A17D9B">
        <w:rPr>
          <w:rFonts w:ascii="Garamond" w:eastAsia="Garamond" w:hAnsi="Garamond" w:cs="Garamond"/>
          <w:i/>
          <w:iCs/>
          <w:noProof/>
          <w:sz w:val="24"/>
          <w:szCs w:val="24"/>
          <w:lang w:val="en-GB"/>
        </w:rPr>
        <w:t>Governance’</w:t>
      </w:r>
      <w:r w:rsidR="006E435B" w:rsidRPr="00A17D9B">
        <w:rPr>
          <w:rFonts w:ascii="Garamond" w:eastAsia="Garamond" w:hAnsi="Garamond" w:cs="Garamond"/>
          <w:noProof/>
          <w:sz w:val="24"/>
          <w:szCs w:val="24"/>
          <w:lang w:val="en-GB"/>
        </w:rPr>
        <w:t xml:space="preserve"> describes the </w:t>
      </w:r>
      <w:r w:rsidRPr="00A17D9B">
        <w:rPr>
          <w:rFonts w:ascii="Garamond" w:eastAsia="Garamond" w:hAnsi="Garamond" w:cs="Garamond"/>
          <w:noProof/>
          <w:sz w:val="24"/>
          <w:szCs w:val="24"/>
          <w:lang w:val="en-GB"/>
        </w:rPr>
        <w:t xml:space="preserve">capability </w:t>
      </w:r>
      <w:r w:rsidR="006E435B" w:rsidRPr="00A17D9B">
        <w:rPr>
          <w:rFonts w:ascii="Garamond" w:eastAsia="Garamond" w:hAnsi="Garamond" w:cs="Garamond"/>
          <w:noProof/>
          <w:sz w:val="24"/>
          <w:szCs w:val="24"/>
          <w:lang w:val="en-GB"/>
        </w:rPr>
        <w:t>to lead the nexus toward</w:t>
      </w:r>
      <w:r w:rsidR="007E17EF" w:rsidRPr="00A17D9B">
        <w:rPr>
          <w:rFonts w:ascii="Garamond" w:eastAsia="Garamond" w:hAnsi="Garamond" w:cs="Garamond"/>
          <w:noProof/>
          <w:sz w:val="24"/>
          <w:szCs w:val="24"/>
          <w:lang w:val="en-GB"/>
        </w:rPr>
        <w:t>s</w:t>
      </w:r>
      <w:r w:rsidR="006E435B" w:rsidRPr="00A17D9B">
        <w:rPr>
          <w:rFonts w:ascii="Garamond" w:eastAsia="Garamond" w:hAnsi="Garamond" w:cs="Garamond"/>
          <w:noProof/>
          <w:sz w:val="24"/>
          <w:szCs w:val="24"/>
          <w:lang w:val="en-GB"/>
        </w:rPr>
        <w:t xml:space="preserve"> an ever broader and deeper human integration. </w:t>
      </w:r>
      <w:r w:rsidR="007E17EF" w:rsidRPr="00A17D9B">
        <w:rPr>
          <w:rFonts w:ascii="Garamond" w:eastAsia="Garamond" w:hAnsi="Garamond" w:cs="Garamond"/>
          <w:noProof/>
          <w:sz w:val="24"/>
          <w:szCs w:val="24"/>
          <w:lang w:val="en-GB"/>
        </w:rPr>
        <w:t>The nexus’</w:t>
      </w:r>
      <w:r w:rsidR="00733D87" w:rsidRPr="00A17D9B">
        <w:rPr>
          <w:rFonts w:ascii="Garamond" w:eastAsia="Garamond" w:hAnsi="Garamond" w:cs="Garamond"/>
          <w:noProof/>
          <w:sz w:val="24"/>
          <w:szCs w:val="24"/>
          <w:lang w:val="en-GB"/>
        </w:rPr>
        <w:t xml:space="preserve"> governance </w:t>
      </w:r>
      <w:r w:rsidR="006E435B" w:rsidRPr="00A17D9B">
        <w:rPr>
          <w:rFonts w:ascii="Garamond" w:eastAsia="Garamond" w:hAnsi="Garamond" w:cs="Garamond"/>
          <w:noProof/>
          <w:sz w:val="24"/>
          <w:szCs w:val="24"/>
          <w:lang w:val="en-GB"/>
        </w:rPr>
        <w:t xml:space="preserve">is polycentric and abide to an organic subsidiarity; (b) </w:t>
      </w:r>
      <w:r w:rsidR="00733D87" w:rsidRPr="00A17D9B">
        <w:rPr>
          <w:rFonts w:ascii="Garamond" w:eastAsia="Garamond" w:hAnsi="Garamond" w:cs="Garamond"/>
          <w:noProof/>
          <w:sz w:val="24"/>
          <w:szCs w:val="24"/>
          <w:lang w:val="en-GB"/>
        </w:rPr>
        <w:t>‘</w:t>
      </w:r>
      <w:r w:rsidR="006E435B" w:rsidRPr="00A17D9B">
        <w:rPr>
          <w:rFonts w:ascii="Garamond" w:eastAsia="Garamond" w:hAnsi="Garamond" w:cs="Garamond"/>
          <w:i/>
          <w:iCs/>
          <w:noProof/>
          <w:sz w:val="24"/>
          <w:szCs w:val="24"/>
          <w:lang w:val="en-GB"/>
        </w:rPr>
        <w:t>Justice</w:t>
      </w:r>
      <w:r w:rsidR="00733D87" w:rsidRPr="00A17D9B">
        <w:rPr>
          <w:rFonts w:ascii="Garamond" w:eastAsia="Garamond" w:hAnsi="Garamond" w:cs="Garamond"/>
          <w:i/>
          <w:iCs/>
          <w:noProof/>
          <w:sz w:val="24"/>
          <w:szCs w:val="24"/>
          <w:lang w:val="en-GB"/>
        </w:rPr>
        <w:t>’</w:t>
      </w:r>
      <w:r w:rsidR="006E435B" w:rsidRPr="00A17D9B">
        <w:rPr>
          <w:rFonts w:ascii="Garamond" w:eastAsia="Garamond" w:hAnsi="Garamond" w:cs="Garamond"/>
          <w:i/>
          <w:iCs/>
          <w:noProof/>
          <w:sz w:val="24"/>
          <w:szCs w:val="24"/>
          <w:lang w:val="en-GB"/>
        </w:rPr>
        <w:t xml:space="preserve"> </w:t>
      </w:r>
      <w:r w:rsidR="00733D87" w:rsidRPr="00A17D9B">
        <w:rPr>
          <w:rFonts w:ascii="Garamond" w:eastAsia="Garamond" w:hAnsi="Garamond" w:cs="Garamond"/>
          <w:noProof/>
          <w:sz w:val="24"/>
          <w:szCs w:val="24"/>
          <w:lang w:val="en-GB"/>
        </w:rPr>
        <w:t xml:space="preserve">describes </w:t>
      </w:r>
      <w:r w:rsidRPr="00A17D9B">
        <w:rPr>
          <w:rFonts w:ascii="Garamond" w:eastAsia="Garamond" w:hAnsi="Garamond" w:cs="Garamond"/>
          <w:noProof/>
          <w:sz w:val="24"/>
          <w:szCs w:val="24"/>
          <w:lang w:val="en-GB"/>
        </w:rPr>
        <w:t xml:space="preserve">how </w:t>
      </w:r>
      <w:r w:rsidR="006E435B" w:rsidRPr="00A17D9B">
        <w:rPr>
          <w:rFonts w:ascii="Garamond" w:eastAsia="Garamond" w:hAnsi="Garamond" w:cs="Garamond"/>
          <w:noProof/>
          <w:sz w:val="24"/>
          <w:szCs w:val="24"/>
          <w:lang w:val="en-GB"/>
        </w:rPr>
        <w:t>p</w:t>
      </w:r>
      <w:r w:rsidR="007E17EF" w:rsidRPr="00A17D9B">
        <w:rPr>
          <w:rFonts w:ascii="Garamond" w:eastAsia="Garamond" w:hAnsi="Garamond" w:cs="Garamond"/>
          <w:noProof/>
          <w:sz w:val="24"/>
          <w:szCs w:val="24"/>
          <w:lang w:val="en-GB"/>
        </w:rPr>
        <w:t>eople take part and have part in</w:t>
      </w:r>
      <w:r w:rsidR="006E435B" w:rsidRPr="00A17D9B">
        <w:rPr>
          <w:rFonts w:ascii="Garamond" w:eastAsia="Garamond" w:hAnsi="Garamond" w:cs="Garamond"/>
          <w:noProof/>
          <w:sz w:val="24"/>
          <w:szCs w:val="24"/>
          <w:lang w:val="en-GB"/>
        </w:rPr>
        <w:t xml:space="preserve"> the social goods produced by the nexus, i.e. the fair generation of the different social goods making up the nexus and the just distribution of the common benefits among the people; (c) ‘</w:t>
      </w:r>
      <w:r w:rsidR="006E435B" w:rsidRPr="00A17D9B">
        <w:rPr>
          <w:rFonts w:ascii="Garamond" w:eastAsia="Garamond" w:hAnsi="Garamond" w:cs="Garamond"/>
          <w:i/>
          <w:iCs/>
          <w:noProof/>
          <w:sz w:val="24"/>
          <w:szCs w:val="24"/>
          <w:lang w:val="en-GB"/>
        </w:rPr>
        <w:t>Stability’</w:t>
      </w:r>
      <w:r w:rsidR="006E435B" w:rsidRPr="00A17D9B">
        <w:rPr>
          <w:rFonts w:ascii="Garamond" w:eastAsia="Garamond" w:hAnsi="Garamond" w:cs="Garamond"/>
          <w:noProof/>
          <w:sz w:val="24"/>
          <w:szCs w:val="24"/>
          <w:lang w:val="en-GB"/>
        </w:rPr>
        <w:t xml:space="preserve"> </w:t>
      </w:r>
      <w:r w:rsidR="00733D87" w:rsidRPr="00A17D9B">
        <w:rPr>
          <w:rFonts w:ascii="Garamond" w:eastAsia="Garamond" w:hAnsi="Garamond" w:cs="Garamond"/>
          <w:noProof/>
          <w:sz w:val="24"/>
          <w:szCs w:val="24"/>
          <w:lang w:val="en-GB"/>
        </w:rPr>
        <w:t xml:space="preserve">defines </w:t>
      </w:r>
      <w:r w:rsidR="006E435B" w:rsidRPr="00A17D9B">
        <w:rPr>
          <w:rFonts w:ascii="Garamond" w:eastAsia="Garamond" w:hAnsi="Garamond" w:cs="Garamond"/>
          <w:noProof/>
          <w:sz w:val="24"/>
          <w:szCs w:val="24"/>
          <w:lang w:val="en-GB"/>
        </w:rPr>
        <w:t>the social institutions preserving and enriching the achieved huma</w:t>
      </w:r>
      <w:r w:rsidR="007E17EF" w:rsidRPr="00A17D9B">
        <w:rPr>
          <w:rFonts w:ascii="Garamond" w:eastAsia="Garamond" w:hAnsi="Garamond" w:cs="Garamond"/>
          <w:noProof/>
          <w:sz w:val="24"/>
          <w:szCs w:val="24"/>
          <w:lang w:val="en-GB"/>
        </w:rPr>
        <w:t>nity of the nexus and ensuring its</w:t>
      </w:r>
      <w:r w:rsidR="006E435B" w:rsidRPr="00A17D9B">
        <w:rPr>
          <w:rFonts w:ascii="Garamond" w:eastAsia="Garamond" w:hAnsi="Garamond" w:cs="Garamond"/>
          <w:noProof/>
          <w:sz w:val="24"/>
          <w:szCs w:val="24"/>
          <w:lang w:val="en-GB"/>
        </w:rPr>
        <w:t xml:space="preserve"> future. These are the institutions that preserve, transmit and reinvent </w:t>
      </w:r>
      <w:r w:rsidR="006E435B" w:rsidRPr="00A17D9B">
        <w:rPr>
          <w:rFonts w:ascii="Garamond" w:eastAsia="Garamond" w:hAnsi="Garamond" w:cs="Garamond"/>
          <w:noProof/>
          <w:color w:val="000000"/>
          <w:sz w:val="24"/>
          <w:szCs w:val="24"/>
          <w:lang w:val="en-GB"/>
        </w:rPr>
        <w:t xml:space="preserve">the nexus’ humanity providing it with resilience and sustainability. Each of these </w:t>
      </w:r>
      <w:r w:rsidR="006E435B" w:rsidRPr="00A17D9B">
        <w:rPr>
          <w:rFonts w:ascii="Garamond" w:eastAsia="Garamond" w:hAnsi="Garamond" w:cs="Garamond"/>
          <w:noProof/>
          <w:sz w:val="24"/>
          <w:szCs w:val="24"/>
          <w:lang w:val="en-GB"/>
        </w:rPr>
        <w:t xml:space="preserve">three key </w:t>
      </w:r>
      <w:r w:rsidR="00733D87" w:rsidRPr="00A17D9B">
        <w:rPr>
          <w:rFonts w:ascii="Garamond" w:eastAsia="Garamond" w:hAnsi="Garamond" w:cs="Garamond"/>
          <w:noProof/>
          <w:sz w:val="24"/>
          <w:szCs w:val="24"/>
          <w:lang w:val="en-GB"/>
        </w:rPr>
        <w:t xml:space="preserve">systemic </w:t>
      </w:r>
      <w:r w:rsidR="006E435B" w:rsidRPr="00A17D9B">
        <w:rPr>
          <w:rFonts w:ascii="Garamond" w:eastAsia="Garamond" w:hAnsi="Garamond" w:cs="Garamond"/>
          <w:noProof/>
          <w:sz w:val="24"/>
          <w:szCs w:val="24"/>
          <w:lang w:val="en-GB"/>
        </w:rPr>
        <w:t>social functions are correlated, subsequently checking and correcting the two others. Together they structure the nexus and bring about a common good dynamic.</w:t>
      </w:r>
      <w:r w:rsidR="006E435B" w:rsidRPr="00A17D9B">
        <w:rPr>
          <w:noProof/>
          <w:sz w:val="24"/>
          <w:szCs w:val="24"/>
          <w:lang w:val="en-GB"/>
        </w:rPr>
        <w:t xml:space="preserve"> </w:t>
      </w:r>
    </w:p>
    <w:p w14:paraId="591D1BF1" w14:textId="54233F46" w:rsidR="006E435B" w:rsidRPr="00A17D9B" w:rsidRDefault="006E435B" w:rsidP="006E435B">
      <w:pPr>
        <w:spacing w:before="120" w:line="320" w:lineRule="atLeast"/>
        <w:jc w:val="both"/>
        <w:rPr>
          <w:noProof/>
          <w:sz w:val="24"/>
          <w:szCs w:val="24"/>
          <w:lang w:val="en-GB"/>
        </w:rPr>
      </w:pPr>
      <w:r w:rsidRPr="00A17D9B">
        <w:rPr>
          <w:rFonts w:ascii="Garamond" w:eastAsia="Garamond" w:hAnsi="Garamond" w:cs="Garamond"/>
          <w:noProof/>
          <w:sz w:val="24"/>
          <w:szCs w:val="24"/>
          <w:lang w:val="en-GB"/>
        </w:rPr>
        <w:t>Finally, ‘</w:t>
      </w:r>
      <w:r w:rsidRPr="00A17D9B">
        <w:rPr>
          <w:rFonts w:ascii="Garamond" w:eastAsia="Garamond" w:hAnsi="Garamond" w:cs="Garamond"/>
          <w:i/>
          <w:iCs/>
          <w:noProof/>
          <w:sz w:val="24"/>
          <w:szCs w:val="24"/>
          <w:lang w:val="en-GB"/>
        </w:rPr>
        <w:t>Humanity’</w:t>
      </w:r>
      <w:r w:rsidRPr="00A17D9B">
        <w:rPr>
          <w:rFonts w:ascii="Garamond" w:eastAsia="Garamond" w:hAnsi="Garamond" w:cs="Garamond"/>
          <w:noProof/>
          <w:sz w:val="24"/>
          <w:szCs w:val="24"/>
          <w:lang w:val="en-GB"/>
        </w:rPr>
        <w:t xml:space="preserve"> - the </w:t>
      </w:r>
      <w:r w:rsidRPr="00A17D9B">
        <w:rPr>
          <w:rFonts w:ascii="Garamond" w:eastAsia="Garamond" w:hAnsi="Garamond" w:cs="Garamond"/>
          <w:i/>
          <w:iCs/>
          <w:noProof/>
          <w:sz w:val="24"/>
          <w:szCs w:val="24"/>
          <w:lang w:val="en-GB"/>
        </w:rPr>
        <w:t>systemic achievement</w:t>
      </w:r>
      <w:r w:rsidRPr="00A17D9B">
        <w:rPr>
          <w:rFonts w:ascii="Garamond" w:eastAsia="Garamond" w:hAnsi="Garamond" w:cs="Garamond"/>
          <w:noProof/>
          <w:sz w:val="24"/>
          <w:szCs w:val="24"/>
          <w:lang w:val="en-GB"/>
        </w:rPr>
        <w:t xml:space="preserve"> of a common good dynamic </w:t>
      </w:r>
      <w:r w:rsidR="00733D87" w:rsidRPr="00A17D9B">
        <w:rPr>
          <w:rFonts w:ascii="Garamond" w:eastAsia="Garamond" w:hAnsi="Garamond" w:cs="Garamond"/>
          <w:noProof/>
          <w:sz w:val="24"/>
          <w:szCs w:val="24"/>
          <w:lang w:val="en-GB"/>
        </w:rPr>
        <w:t>-</w:t>
      </w:r>
      <w:r w:rsidRPr="00A17D9B">
        <w:rPr>
          <w:rFonts w:ascii="Garamond" w:eastAsia="Garamond" w:hAnsi="Garamond" w:cs="Garamond"/>
          <w:noProof/>
          <w:sz w:val="24"/>
          <w:szCs w:val="24"/>
          <w:lang w:val="en-GB"/>
        </w:rPr>
        <w:t xml:space="preserve"> denotes the human quality of our coexistence in the nexus; how we relate and act together as human being</w:t>
      </w:r>
      <w:r w:rsidR="00E22354" w:rsidRPr="00A17D9B">
        <w:rPr>
          <w:rFonts w:ascii="Garamond" w:eastAsia="Garamond" w:hAnsi="Garamond" w:cs="Garamond"/>
          <w:noProof/>
          <w:sz w:val="24"/>
          <w:szCs w:val="24"/>
          <w:lang w:val="en-GB"/>
        </w:rPr>
        <w:t>s</w:t>
      </w:r>
      <w:r w:rsidRPr="00A17D9B">
        <w:rPr>
          <w:rFonts w:ascii="Garamond" w:eastAsia="Garamond" w:hAnsi="Garamond" w:cs="Garamond"/>
          <w:noProof/>
          <w:sz w:val="24"/>
          <w:szCs w:val="24"/>
          <w:lang w:val="en-GB"/>
        </w:rPr>
        <w:t xml:space="preserve"> in that particular society. More precisely, we characterize ‘humanity’ as the achievement of a set of basic common goods and core habitus.</w:t>
      </w:r>
    </w:p>
    <w:p w14:paraId="3F70CADE" w14:textId="3F661D6D" w:rsidR="002F438E" w:rsidRPr="00A17D9B" w:rsidRDefault="00E22354" w:rsidP="007623CF">
      <w:pPr>
        <w:pStyle w:val="Subttulo"/>
        <w:jc w:val="right"/>
        <w:rPr>
          <w:noProof/>
          <w:lang w:val="en-GB"/>
        </w:rPr>
      </w:pPr>
      <w:r w:rsidRPr="00A17D9B">
        <w:rPr>
          <w:noProof/>
          <w:lang w:val="en-GB"/>
        </w:rPr>
        <w:t>Two T</w:t>
      </w:r>
      <w:r w:rsidR="002F438E" w:rsidRPr="00A17D9B">
        <w:rPr>
          <w:noProof/>
          <w:lang w:val="en-GB"/>
        </w:rPr>
        <w:t>hreshold</w:t>
      </w:r>
      <w:r w:rsidR="00BD5D02" w:rsidRPr="00A17D9B">
        <w:rPr>
          <w:noProof/>
          <w:lang w:val="en-GB"/>
        </w:rPr>
        <w:t>s</w:t>
      </w:r>
      <w:r w:rsidRPr="00A17D9B">
        <w:rPr>
          <w:noProof/>
          <w:lang w:val="en-GB"/>
        </w:rPr>
        <w:t xml:space="preserve"> to M</w:t>
      </w:r>
      <w:r w:rsidR="002F438E" w:rsidRPr="00A17D9B">
        <w:rPr>
          <w:noProof/>
          <w:lang w:val="en-GB"/>
        </w:rPr>
        <w:t>e</w:t>
      </w:r>
      <w:r w:rsidR="00BD5D02" w:rsidRPr="00A17D9B">
        <w:rPr>
          <w:noProof/>
          <w:lang w:val="en-GB"/>
        </w:rPr>
        <w:t>a</w:t>
      </w:r>
      <w:r w:rsidRPr="00A17D9B">
        <w:rPr>
          <w:noProof/>
          <w:lang w:val="en-GB"/>
        </w:rPr>
        <w:t>sure Humanity: Basic Common Goods and Standard Expectation of B</w:t>
      </w:r>
      <w:r w:rsidR="002F438E" w:rsidRPr="00A17D9B">
        <w:rPr>
          <w:noProof/>
          <w:lang w:val="en-GB"/>
        </w:rPr>
        <w:t xml:space="preserve">ehavior </w:t>
      </w:r>
    </w:p>
    <w:p w14:paraId="38A7AAD4" w14:textId="5C787AD9" w:rsidR="00BD5D02" w:rsidRPr="00A17D9B" w:rsidRDefault="00BD5D02" w:rsidP="00BD5D02">
      <w:pPr>
        <w:spacing w:before="120" w:line="320" w:lineRule="atLeast"/>
        <w:jc w:val="both"/>
        <w:rPr>
          <w:rFonts w:ascii="Garamond" w:hAnsi="Garamond"/>
          <w:noProof/>
          <w:sz w:val="24"/>
          <w:szCs w:val="24"/>
          <w:lang w:val="en-GB"/>
        </w:rPr>
      </w:pPr>
      <w:r w:rsidRPr="00A17D9B">
        <w:rPr>
          <w:rFonts w:ascii="Garamond" w:hAnsi="Garamond"/>
          <w:noProof/>
          <w:sz w:val="24"/>
          <w:szCs w:val="24"/>
          <w:lang w:val="en-GB"/>
        </w:rPr>
        <w:t xml:space="preserve">As we can’t take into account the full complexity of common goods existing in a society, we choose to focus on a set of basic common goods that are required to </w:t>
      </w:r>
      <w:r w:rsidRPr="00A17D9B">
        <w:rPr>
          <w:rFonts w:ascii="Garamond" w:hAnsi="Garamond"/>
          <w:i/>
          <w:iCs/>
          <w:noProof/>
          <w:sz w:val="24"/>
          <w:szCs w:val="24"/>
          <w:lang w:val="en-GB"/>
        </w:rPr>
        <w:t>access our own humanity</w:t>
      </w:r>
      <w:r w:rsidRPr="00A17D9B">
        <w:rPr>
          <w:rFonts w:ascii="Garamond" w:hAnsi="Garamond"/>
          <w:noProof/>
          <w:sz w:val="24"/>
          <w:szCs w:val="24"/>
          <w:lang w:val="en-GB"/>
        </w:rPr>
        <w:t xml:space="preserve">. Relational goods, in other terms, linked to our </w:t>
      </w:r>
      <w:r w:rsidRPr="00A17D9B">
        <w:rPr>
          <w:rFonts w:ascii="Garamond" w:hAnsi="Garamond"/>
          <w:i/>
          <w:iCs/>
          <w:noProof/>
          <w:sz w:val="24"/>
          <w:szCs w:val="24"/>
          <w:lang w:val="en-GB"/>
        </w:rPr>
        <w:t>common basic needs</w:t>
      </w:r>
      <w:r w:rsidRPr="00A17D9B">
        <w:rPr>
          <w:rFonts w:ascii="Garamond" w:hAnsi="Garamond"/>
          <w:noProof/>
          <w:sz w:val="24"/>
          <w:szCs w:val="24"/>
          <w:lang w:val="en-GB"/>
        </w:rPr>
        <w:t xml:space="preserve"> and </w:t>
      </w:r>
      <w:r w:rsidRPr="00A17D9B">
        <w:rPr>
          <w:rFonts w:ascii="Garamond" w:hAnsi="Garamond"/>
          <w:i/>
          <w:iCs/>
          <w:noProof/>
          <w:sz w:val="24"/>
          <w:szCs w:val="24"/>
          <w:lang w:val="en-GB"/>
        </w:rPr>
        <w:t>conditioning the access to our humanity</w:t>
      </w:r>
      <w:r w:rsidRPr="00A17D9B">
        <w:rPr>
          <w:rFonts w:ascii="Garamond" w:hAnsi="Garamond"/>
          <w:noProof/>
          <w:sz w:val="24"/>
          <w:szCs w:val="24"/>
          <w:lang w:val="en-GB"/>
        </w:rPr>
        <w:t xml:space="preserve">, like </w:t>
      </w:r>
      <w:r w:rsidR="00EA34CA" w:rsidRPr="00A17D9B">
        <w:rPr>
          <w:rFonts w:ascii="Garamond" w:hAnsi="Garamond"/>
          <w:noProof/>
          <w:sz w:val="24"/>
          <w:szCs w:val="24"/>
          <w:lang w:val="en-GB"/>
        </w:rPr>
        <w:t>culture</w:t>
      </w:r>
      <w:r w:rsidRPr="00A17D9B">
        <w:rPr>
          <w:rFonts w:ascii="Garamond" w:hAnsi="Garamond"/>
          <w:noProof/>
          <w:sz w:val="24"/>
          <w:szCs w:val="24"/>
          <w:lang w:val="en-GB"/>
        </w:rPr>
        <w:t xml:space="preserve">, </w:t>
      </w:r>
      <w:r w:rsidR="00EA34CA" w:rsidRPr="00A17D9B">
        <w:rPr>
          <w:rFonts w:ascii="Garamond" w:hAnsi="Garamond"/>
          <w:noProof/>
          <w:sz w:val="24"/>
          <w:szCs w:val="24"/>
          <w:lang w:val="en-GB"/>
        </w:rPr>
        <w:t>education</w:t>
      </w:r>
      <w:r w:rsidRPr="00A17D9B">
        <w:rPr>
          <w:rFonts w:ascii="Garamond" w:hAnsi="Garamond"/>
          <w:noProof/>
          <w:sz w:val="24"/>
          <w:szCs w:val="24"/>
          <w:lang w:val="en-GB"/>
        </w:rPr>
        <w:t xml:space="preserve">, </w:t>
      </w:r>
      <w:r w:rsidR="00EA34CA" w:rsidRPr="00A17D9B">
        <w:rPr>
          <w:rFonts w:ascii="Garamond" w:hAnsi="Garamond"/>
          <w:noProof/>
          <w:sz w:val="24"/>
          <w:szCs w:val="24"/>
          <w:lang w:val="en-GB"/>
        </w:rPr>
        <w:t>work, laws and social norms</w:t>
      </w:r>
      <w:r w:rsidRPr="00A17D9B">
        <w:rPr>
          <w:rFonts w:ascii="Garamond" w:hAnsi="Garamond"/>
          <w:noProof/>
          <w:sz w:val="24"/>
          <w:szCs w:val="24"/>
          <w:lang w:val="en-GB"/>
        </w:rPr>
        <w:t xml:space="preserve">. These basic common goods are </w:t>
      </w:r>
      <w:r w:rsidRPr="00A17D9B">
        <w:rPr>
          <w:rFonts w:ascii="Garamond" w:hAnsi="Garamond"/>
          <w:i/>
          <w:iCs/>
          <w:noProof/>
          <w:sz w:val="24"/>
          <w:szCs w:val="24"/>
          <w:lang w:val="en-GB"/>
        </w:rPr>
        <w:t xml:space="preserve">systemically important, </w:t>
      </w:r>
      <w:r w:rsidRPr="00A17D9B">
        <w:rPr>
          <w:rFonts w:ascii="Garamond" w:hAnsi="Garamond"/>
          <w:noProof/>
          <w:sz w:val="24"/>
          <w:szCs w:val="24"/>
          <w:lang w:val="en-GB"/>
        </w:rPr>
        <w:t>meaning</w:t>
      </w:r>
      <w:r w:rsidRPr="00A17D9B">
        <w:rPr>
          <w:rFonts w:ascii="Garamond" w:hAnsi="Garamond"/>
          <w:i/>
          <w:iCs/>
          <w:noProof/>
          <w:sz w:val="24"/>
          <w:szCs w:val="24"/>
          <w:lang w:val="en-GB"/>
        </w:rPr>
        <w:t xml:space="preserve"> </w:t>
      </w:r>
      <w:r w:rsidRPr="00A17D9B">
        <w:rPr>
          <w:rFonts w:ascii="Garamond" w:hAnsi="Garamond"/>
          <w:noProof/>
          <w:sz w:val="24"/>
          <w:szCs w:val="24"/>
          <w:lang w:val="en-GB"/>
        </w:rPr>
        <w:t xml:space="preserve">that without them the social fabric would hardly exist at all. Their existence and distribution among the population may thus be considered as a </w:t>
      </w:r>
      <w:r w:rsidRPr="00A17D9B">
        <w:rPr>
          <w:rFonts w:ascii="Garamond" w:hAnsi="Garamond"/>
          <w:i/>
          <w:iCs/>
          <w:noProof/>
          <w:sz w:val="24"/>
          <w:szCs w:val="24"/>
          <w:lang w:val="en-GB"/>
        </w:rPr>
        <w:t>minimal threshold of humanity</w:t>
      </w:r>
      <w:r w:rsidRPr="00A17D9B">
        <w:rPr>
          <w:rFonts w:ascii="Garamond" w:hAnsi="Garamond"/>
          <w:noProof/>
          <w:sz w:val="24"/>
          <w:szCs w:val="24"/>
          <w:lang w:val="en-GB"/>
        </w:rPr>
        <w:t xml:space="preserve">. Whenever they fail to exist or be accessible, the nexus </w:t>
      </w:r>
      <w:r w:rsidR="00733D87" w:rsidRPr="00A17D9B">
        <w:rPr>
          <w:rFonts w:ascii="Garamond" w:hAnsi="Garamond"/>
          <w:noProof/>
          <w:sz w:val="24"/>
          <w:szCs w:val="24"/>
          <w:lang w:val="en-GB"/>
        </w:rPr>
        <w:t xml:space="preserve">falls below a minimal standard of humanity and </w:t>
      </w:r>
      <w:r w:rsidRPr="00A17D9B">
        <w:rPr>
          <w:rFonts w:ascii="Garamond" w:hAnsi="Garamond"/>
          <w:noProof/>
          <w:sz w:val="24"/>
          <w:szCs w:val="24"/>
          <w:lang w:val="en-GB"/>
        </w:rPr>
        <w:t xml:space="preserve">will not </w:t>
      </w:r>
      <w:r w:rsidR="00733D87" w:rsidRPr="00A17D9B">
        <w:rPr>
          <w:rFonts w:ascii="Garamond" w:hAnsi="Garamond"/>
          <w:noProof/>
          <w:sz w:val="24"/>
          <w:szCs w:val="24"/>
          <w:lang w:val="en-GB"/>
        </w:rPr>
        <w:t xml:space="preserve">– whatever its wealth or efficiency – </w:t>
      </w:r>
      <w:r w:rsidRPr="00A17D9B">
        <w:rPr>
          <w:rFonts w:ascii="Garamond" w:hAnsi="Garamond"/>
          <w:noProof/>
          <w:sz w:val="24"/>
          <w:szCs w:val="24"/>
          <w:lang w:val="en-GB"/>
        </w:rPr>
        <w:t>be leading toward</w:t>
      </w:r>
      <w:r w:rsidR="0075339E" w:rsidRPr="00A17D9B">
        <w:rPr>
          <w:rFonts w:ascii="Garamond" w:hAnsi="Garamond"/>
          <w:noProof/>
          <w:sz w:val="24"/>
          <w:szCs w:val="24"/>
          <w:lang w:val="en-GB"/>
        </w:rPr>
        <w:t>s</w:t>
      </w:r>
      <w:r w:rsidRPr="00A17D9B">
        <w:rPr>
          <w:rFonts w:ascii="Garamond" w:hAnsi="Garamond"/>
          <w:noProof/>
          <w:sz w:val="24"/>
          <w:szCs w:val="24"/>
          <w:lang w:val="en-GB"/>
        </w:rPr>
        <w:t xml:space="preserve"> a more human coexistence. </w:t>
      </w:r>
    </w:p>
    <w:p w14:paraId="13516341" w14:textId="150DAC8E" w:rsidR="00BD5D02" w:rsidRPr="00A17D9B" w:rsidRDefault="00BD5D02" w:rsidP="00BD5D02">
      <w:pPr>
        <w:spacing w:before="120" w:line="320" w:lineRule="atLeast"/>
        <w:jc w:val="both"/>
        <w:rPr>
          <w:rFonts w:ascii="Garamond" w:eastAsia="Garamond" w:hAnsi="Garamond" w:cs="Garamond"/>
          <w:noProof/>
          <w:sz w:val="24"/>
          <w:szCs w:val="24"/>
          <w:lang w:val="en-GB"/>
        </w:rPr>
      </w:pPr>
      <w:r w:rsidRPr="00A17D9B">
        <w:rPr>
          <w:rFonts w:ascii="Garamond" w:eastAsia="Garamond" w:hAnsi="Garamond" w:cs="Garamond"/>
          <w:noProof/>
          <w:sz w:val="24"/>
          <w:szCs w:val="24"/>
          <w:lang w:val="en-GB"/>
        </w:rPr>
        <w:lastRenderedPageBreak/>
        <w:t xml:space="preserve">To draw such minimal threshold of humanity we selected the following set of </w:t>
      </w:r>
      <w:r w:rsidRPr="00A17D9B">
        <w:rPr>
          <w:rFonts w:ascii="Garamond" w:eastAsia="Garamond" w:hAnsi="Garamond" w:cs="Garamond"/>
          <w:i/>
          <w:iCs/>
          <w:noProof/>
          <w:sz w:val="24"/>
          <w:szCs w:val="24"/>
          <w:lang w:val="en-GB"/>
        </w:rPr>
        <w:t>basic common goods</w:t>
      </w:r>
      <w:r w:rsidRPr="00A17D9B">
        <w:rPr>
          <w:rFonts w:ascii="Garamond" w:eastAsia="Garamond" w:hAnsi="Garamond" w:cs="Garamond"/>
          <w:noProof/>
          <w:sz w:val="24"/>
          <w:szCs w:val="24"/>
          <w:lang w:val="en-GB"/>
        </w:rPr>
        <w:t xml:space="preserve"> for our matrix</w:t>
      </w:r>
      <w:r w:rsidRPr="00A17D9B">
        <w:rPr>
          <w:rStyle w:val="Refdenotaalpie"/>
          <w:rFonts w:ascii="Garamond" w:eastAsia="Garamond" w:hAnsi="Garamond" w:cs="Garamond"/>
          <w:noProof/>
          <w:sz w:val="24"/>
          <w:szCs w:val="24"/>
          <w:lang w:val="en-GB"/>
        </w:rPr>
        <w:footnoteReference w:id="6"/>
      </w:r>
      <w:r w:rsidR="00597A26" w:rsidRPr="00A17D9B">
        <w:rPr>
          <w:rFonts w:ascii="Garamond" w:eastAsia="Garamond" w:hAnsi="Garamond" w:cs="Garamond"/>
          <w:noProof/>
          <w:sz w:val="24"/>
          <w:szCs w:val="24"/>
          <w:lang w:val="en-GB"/>
        </w:rPr>
        <w:t>: c</w:t>
      </w:r>
      <w:r w:rsidRPr="00A17D9B">
        <w:rPr>
          <w:rFonts w:ascii="Garamond" w:eastAsia="Garamond" w:hAnsi="Garamond" w:cs="Garamond"/>
          <w:noProof/>
          <w:sz w:val="24"/>
          <w:szCs w:val="24"/>
          <w:lang w:val="en-GB"/>
        </w:rPr>
        <w:t>ulture</w:t>
      </w:r>
      <w:r w:rsidR="000D4350" w:rsidRPr="00A17D9B">
        <w:rPr>
          <w:rStyle w:val="Refdenotaalpie"/>
          <w:rFonts w:ascii="Garamond" w:eastAsia="Garamond" w:hAnsi="Garamond" w:cs="Garamond"/>
          <w:noProof/>
          <w:sz w:val="24"/>
          <w:szCs w:val="24"/>
          <w:lang w:val="en-GB"/>
        </w:rPr>
        <w:footnoteReference w:id="7"/>
      </w:r>
      <w:r w:rsidR="00597A26" w:rsidRPr="00A17D9B">
        <w:rPr>
          <w:rFonts w:ascii="Garamond" w:eastAsia="Garamond" w:hAnsi="Garamond" w:cs="Garamond"/>
          <w:noProof/>
          <w:sz w:val="24"/>
          <w:szCs w:val="24"/>
          <w:lang w:val="en-GB"/>
        </w:rPr>
        <w:t>, e</w:t>
      </w:r>
      <w:r w:rsidRPr="00A17D9B">
        <w:rPr>
          <w:rFonts w:ascii="Garamond" w:eastAsia="Garamond" w:hAnsi="Garamond" w:cs="Garamond"/>
          <w:noProof/>
          <w:sz w:val="24"/>
          <w:szCs w:val="24"/>
          <w:lang w:val="en-GB"/>
        </w:rPr>
        <w:t>ducation</w:t>
      </w:r>
      <w:r w:rsidR="000D4350" w:rsidRPr="00A17D9B">
        <w:rPr>
          <w:rStyle w:val="Refdenotaalpie"/>
          <w:rFonts w:ascii="Garamond" w:eastAsia="Garamond" w:hAnsi="Garamond" w:cs="Garamond"/>
          <w:noProof/>
          <w:sz w:val="24"/>
          <w:szCs w:val="24"/>
          <w:lang w:val="en-GB"/>
        </w:rPr>
        <w:footnoteReference w:id="8"/>
      </w:r>
      <w:r w:rsidR="00597A26" w:rsidRPr="00A17D9B">
        <w:rPr>
          <w:rFonts w:ascii="Garamond" w:eastAsia="Garamond" w:hAnsi="Garamond" w:cs="Garamond"/>
          <w:noProof/>
          <w:sz w:val="24"/>
          <w:szCs w:val="24"/>
          <w:lang w:val="en-GB"/>
        </w:rPr>
        <w:t>, s</w:t>
      </w:r>
      <w:r w:rsidRPr="00A17D9B">
        <w:rPr>
          <w:rFonts w:ascii="Garamond" w:eastAsia="Garamond" w:hAnsi="Garamond" w:cs="Garamond"/>
          <w:noProof/>
          <w:sz w:val="24"/>
          <w:szCs w:val="24"/>
          <w:lang w:val="en-GB"/>
        </w:rPr>
        <w:t>olidarity</w:t>
      </w:r>
      <w:r w:rsidR="000D4350" w:rsidRPr="00A17D9B">
        <w:rPr>
          <w:rStyle w:val="Refdenotaalpie"/>
          <w:rFonts w:ascii="Garamond" w:eastAsia="Garamond" w:hAnsi="Garamond" w:cs="Garamond"/>
          <w:noProof/>
          <w:sz w:val="24"/>
          <w:szCs w:val="24"/>
          <w:lang w:val="en-GB"/>
        </w:rPr>
        <w:footnoteReference w:id="9"/>
      </w:r>
      <w:r w:rsidR="00597A26" w:rsidRPr="00A17D9B">
        <w:rPr>
          <w:rFonts w:ascii="Garamond" w:eastAsia="Garamond" w:hAnsi="Garamond" w:cs="Garamond"/>
          <w:noProof/>
          <w:sz w:val="24"/>
          <w:szCs w:val="24"/>
          <w:lang w:val="en-GB"/>
        </w:rPr>
        <w:t>, w</w:t>
      </w:r>
      <w:r w:rsidRPr="00A17D9B">
        <w:rPr>
          <w:rFonts w:ascii="Garamond" w:eastAsia="Garamond" w:hAnsi="Garamond" w:cs="Garamond"/>
          <w:noProof/>
          <w:sz w:val="24"/>
          <w:szCs w:val="24"/>
          <w:lang w:val="en-GB"/>
        </w:rPr>
        <w:t>ork</w:t>
      </w:r>
      <w:r w:rsidR="000D4350" w:rsidRPr="00A17D9B">
        <w:rPr>
          <w:rStyle w:val="Refdenotaalpie"/>
          <w:rFonts w:ascii="Garamond" w:eastAsia="Garamond" w:hAnsi="Garamond" w:cs="Garamond"/>
          <w:noProof/>
          <w:sz w:val="24"/>
          <w:szCs w:val="24"/>
          <w:lang w:val="en-GB"/>
        </w:rPr>
        <w:footnoteReference w:id="10"/>
      </w:r>
      <w:r w:rsidR="00597A26" w:rsidRPr="00A17D9B">
        <w:rPr>
          <w:rFonts w:ascii="Garamond" w:eastAsia="Garamond" w:hAnsi="Garamond" w:cs="Garamond"/>
          <w:noProof/>
          <w:sz w:val="24"/>
          <w:szCs w:val="24"/>
          <w:lang w:val="en-GB"/>
        </w:rPr>
        <w:t xml:space="preserve"> and rule of l</w:t>
      </w:r>
      <w:r w:rsidRPr="00A17D9B">
        <w:rPr>
          <w:rFonts w:ascii="Garamond" w:eastAsia="Garamond" w:hAnsi="Garamond" w:cs="Garamond"/>
          <w:noProof/>
          <w:sz w:val="24"/>
          <w:szCs w:val="24"/>
          <w:lang w:val="en-GB"/>
        </w:rPr>
        <w:t>aw</w:t>
      </w:r>
      <w:r w:rsidR="00FF479E" w:rsidRPr="00A17D9B">
        <w:rPr>
          <w:rStyle w:val="Refdenotaalpie"/>
          <w:rFonts w:ascii="Garamond" w:eastAsia="Garamond" w:hAnsi="Garamond" w:cs="Garamond"/>
          <w:noProof/>
          <w:sz w:val="24"/>
          <w:szCs w:val="24"/>
          <w:lang w:val="en-GB"/>
        </w:rPr>
        <w:footnoteReference w:id="11"/>
      </w:r>
      <w:r w:rsidRPr="00A17D9B">
        <w:rPr>
          <w:rFonts w:ascii="Garamond" w:eastAsia="Garamond" w:hAnsi="Garamond" w:cs="Garamond"/>
          <w:noProof/>
          <w:sz w:val="24"/>
          <w:szCs w:val="24"/>
          <w:lang w:val="en-GB"/>
        </w:rPr>
        <w:t>. This open list does not claim to be comprehensive and is open to further discussions, but fits the need to create a metric adapted to measure CGD in municipalities</w:t>
      </w:r>
      <w:r w:rsidR="00EA34CA" w:rsidRPr="00A17D9B">
        <w:rPr>
          <w:rStyle w:val="Refdenotaalpie"/>
          <w:rFonts w:ascii="Garamond" w:eastAsia="Garamond" w:hAnsi="Garamond" w:cs="Garamond"/>
          <w:noProof/>
          <w:sz w:val="24"/>
          <w:szCs w:val="24"/>
          <w:lang w:val="en-GB"/>
        </w:rPr>
        <w:footnoteReference w:id="12"/>
      </w:r>
      <w:r w:rsidRPr="00A17D9B">
        <w:rPr>
          <w:rFonts w:ascii="Garamond" w:eastAsia="Garamond" w:hAnsi="Garamond" w:cs="Garamond"/>
          <w:noProof/>
          <w:sz w:val="24"/>
          <w:szCs w:val="24"/>
          <w:lang w:val="en-GB"/>
        </w:rPr>
        <w:t>. The very existence of these basic common goods at local level can be taken as a fair proxy for a minimal threshold of humanity. Their existence, coherent integration and distribution in a population tell us something important about its basic human quality.</w:t>
      </w:r>
      <w:r w:rsidRPr="00A17D9B">
        <w:rPr>
          <w:rStyle w:val="Refdenotaalpie"/>
          <w:rFonts w:ascii="Garamond" w:eastAsia="Garamond" w:hAnsi="Garamond" w:cs="Garamond"/>
          <w:noProof/>
          <w:sz w:val="24"/>
          <w:szCs w:val="24"/>
          <w:lang w:val="en-GB"/>
        </w:rPr>
        <w:footnoteReference w:id="13"/>
      </w:r>
      <w:r w:rsidRPr="00A17D9B">
        <w:rPr>
          <w:rFonts w:ascii="Garamond" w:eastAsia="Garamond" w:hAnsi="Garamond" w:cs="Garamond"/>
          <w:noProof/>
          <w:sz w:val="24"/>
          <w:szCs w:val="24"/>
          <w:lang w:val="en-GB"/>
        </w:rPr>
        <w:t xml:space="preserve"> </w:t>
      </w:r>
    </w:p>
    <w:p w14:paraId="34597F18" w14:textId="188F8074" w:rsidR="00BD5D02" w:rsidRPr="00A17D9B" w:rsidRDefault="00BD5D02" w:rsidP="00BD5D02">
      <w:pPr>
        <w:spacing w:before="120" w:line="320" w:lineRule="atLeast"/>
        <w:jc w:val="both"/>
        <w:rPr>
          <w:rFonts w:ascii="Garamond" w:eastAsia="Garamond" w:hAnsi="Garamond" w:cs="Garamond"/>
          <w:noProof/>
          <w:sz w:val="24"/>
          <w:szCs w:val="24"/>
          <w:lang w:val="en-GB"/>
        </w:rPr>
      </w:pPr>
      <w:r w:rsidRPr="00A17D9B">
        <w:rPr>
          <w:rFonts w:ascii="Garamond" w:eastAsia="Garamond" w:hAnsi="Garamond" w:cs="Garamond"/>
          <w:noProof/>
          <w:sz w:val="24"/>
          <w:szCs w:val="24"/>
          <w:lang w:val="en-GB"/>
        </w:rPr>
        <w:t>As</w:t>
      </w:r>
      <w:r w:rsidR="00597A26" w:rsidRPr="00A17D9B">
        <w:rPr>
          <w:rFonts w:ascii="Garamond" w:eastAsia="Garamond" w:hAnsi="Garamond" w:cs="Garamond"/>
          <w:noProof/>
          <w:sz w:val="24"/>
          <w:szCs w:val="24"/>
          <w:lang w:val="en-GB"/>
        </w:rPr>
        <w:t xml:space="preserve"> </w:t>
      </w:r>
      <w:r w:rsidR="00E93EFA" w:rsidRPr="00A17D9B">
        <w:rPr>
          <w:rFonts w:ascii="Garamond" w:eastAsia="Garamond" w:hAnsi="Garamond" w:cs="Garamond"/>
          <w:noProof/>
          <w:sz w:val="24"/>
          <w:szCs w:val="24"/>
          <w:lang w:val="en-GB"/>
        </w:rPr>
        <w:t>to</w:t>
      </w:r>
      <w:r w:rsidRPr="00A17D9B">
        <w:rPr>
          <w:rFonts w:ascii="Garamond" w:eastAsia="Garamond" w:hAnsi="Garamond" w:cs="Garamond"/>
          <w:noProof/>
          <w:sz w:val="24"/>
          <w:szCs w:val="24"/>
          <w:lang w:val="en-GB"/>
        </w:rPr>
        <w:t xml:space="preserve"> specific common good</w:t>
      </w:r>
      <w:r w:rsidR="00E93EFA" w:rsidRPr="00A17D9B">
        <w:rPr>
          <w:rFonts w:ascii="Garamond" w:eastAsia="Garamond" w:hAnsi="Garamond" w:cs="Garamond"/>
          <w:noProof/>
          <w:sz w:val="24"/>
          <w:szCs w:val="24"/>
          <w:lang w:val="en-GB"/>
        </w:rPr>
        <w:t>s</w:t>
      </w:r>
      <w:r w:rsidR="00597A26" w:rsidRPr="00A17D9B">
        <w:rPr>
          <w:rFonts w:ascii="Garamond" w:eastAsia="Garamond" w:hAnsi="Garamond" w:cs="Garamond"/>
          <w:noProof/>
          <w:sz w:val="24"/>
          <w:szCs w:val="24"/>
          <w:lang w:val="en-GB"/>
        </w:rPr>
        <w:t>,</w:t>
      </w:r>
      <w:r w:rsidRPr="00A17D9B">
        <w:rPr>
          <w:rFonts w:ascii="Garamond" w:eastAsia="Garamond" w:hAnsi="Garamond" w:cs="Garamond"/>
          <w:noProof/>
          <w:sz w:val="24"/>
          <w:szCs w:val="24"/>
          <w:lang w:val="en-GB"/>
        </w:rPr>
        <w:t xml:space="preserve"> their existence and distribution will be assessed at the level of the three key drivers structuring the nexus and informing </w:t>
      </w:r>
      <w:r w:rsidR="00E93EFA" w:rsidRPr="00A17D9B">
        <w:rPr>
          <w:rFonts w:ascii="Garamond" w:eastAsia="Garamond" w:hAnsi="Garamond" w:cs="Garamond"/>
          <w:noProof/>
          <w:sz w:val="24"/>
          <w:szCs w:val="24"/>
          <w:lang w:val="en-GB"/>
        </w:rPr>
        <w:t>the core nexus</w:t>
      </w:r>
      <w:r w:rsidR="00597A26" w:rsidRPr="00A17D9B">
        <w:rPr>
          <w:rFonts w:ascii="Garamond" w:eastAsia="Garamond" w:hAnsi="Garamond" w:cs="Garamond"/>
          <w:noProof/>
          <w:sz w:val="24"/>
          <w:szCs w:val="24"/>
          <w:lang w:val="en-GB"/>
        </w:rPr>
        <w:t>: justice, governance and s</w:t>
      </w:r>
      <w:r w:rsidRPr="00A17D9B">
        <w:rPr>
          <w:rFonts w:ascii="Garamond" w:eastAsia="Garamond" w:hAnsi="Garamond" w:cs="Garamond"/>
          <w:noProof/>
          <w:sz w:val="24"/>
          <w:szCs w:val="24"/>
          <w:lang w:val="en-GB"/>
        </w:rPr>
        <w:t xml:space="preserve">tability. In </w:t>
      </w:r>
      <w:r w:rsidR="007B6724" w:rsidRPr="00A17D9B">
        <w:rPr>
          <w:rFonts w:ascii="Garamond" w:eastAsia="Garamond" w:hAnsi="Garamond" w:cs="Garamond"/>
          <w:noProof/>
          <w:sz w:val="24"/>
          <w:szCs w:val="24"/>
          <w:lang w:val="en-GB"/>
        </w:rPr>
        <w:t xml:space="preserve">other words, we will be considering </w:t>
      </w:r>
      <w:r w:rsidRPr="00A17D9B">
        <w:rPr>
          <w:rFonts w:ascii="Garamond" w:eastAsia="Garamond" w:hAnsi="Garamond" w:cs="Garamond"/>
          <w:noProof/>
          <w:sz w:val="24"/>
          <w:szCs w:val="24"/>
          <w:lang w:val="en-GB"/>
        </w:rPr>
        <w:t>how these basic common goods are governed</w:t>
      </w:r>
      <w:r w:rsidR="007B6724" w:rsidRPr="00A17D9B">
        <w:rPr>
          <w:rFonts w:ascii="Garamond" w:eastAsia="Garamond" w:hAnsi="Garamond" w:cs="Garamond"/>
          <w:noProof/>
          <w:sz w:val="24"/>
          <w:szCs w:val="24"/>
          <w:lang w:val="en-GB"/>
        </w:rPr>
        <w:t>,</w:t>
      </w:r>
      <w:r w:rsidRPr="00A17D9B">
        <w:rPr>
          <w:rFonts w:ascii="Garamond" w:eastAsia="Garamond" w:hAnsi="Garamond" w:cs="Garamond"/>
          <w:noProof/>
          <w:sz w:val="24"/>
          <w:szCs w:val="24"/>
          <w:lang w:val="en-GB"/>
        </w:rPr>
        <w:t xml:space="preserve"> </w:t>
      </w:r>
      <w:r w:rsidR="007B6724" w:rsidRPr="00A17D9B">
        <w:rPr>
          <w:rFonts w:ascii="Garamond" w:eastAsia="Garamond" w:hAnsi="Garamond" w:cs="Garamond"/>
          <w:noProof/>
          <w:sz w:val="24"/>
          <w:szCs w:val="24"/>
          <w:lang w:val="en-GB"/>
        </w:rPr>
        <w:t xml:space="preserve">how they are </w:t>
      </w:r>
      <w:r w:rsidRPr="00A17D9B">
        <w:rPr>
          <w:rFonts w:ascii="Garamond" w:eastAsia="Garamond" w:hAnsi="Garamond" w:cs="Garamond"/>
          <w:noProof/>
          <w:sz w:val="24"/>
          <w:szCs w:val="24"/>
          <w:lang w:val="en-GB"/>
        </w:rPr>
        <w:t xml:space="preserve">distributed </w:t>
      </w:r>
      <w:r w:rsidR="007B6724" w:rsidRPr="00A17D9B">
        <w:rPr>
          <w:rFonts w:ascii="Garamond" w:eastAsia="Garamond" w:hAnsi="Garamond" w:cs="Garamond"/>
          <w:noProof/>
          <w:sz w:val="24"/>
          <w:szCs w:val="24"/>
          <w:lang w:val="en-GB"/>
        </w:rPr>
        <w:t xml:space="preserve">in </w:t>
      </w:r>
      <w:r w:rsidRPr="00A17D9B">
        <w:rPr>
          <w:rFonts w:ascii="Garamond" w:eastAsia="Garamond" w:hAnsi="Garamond" w:cs="Garamond"/>
          <w:noProof/>
          <w:sz w:val="24"/>
          <w:szCs w:val="24"/>
          <w:lang w:val="en-GB"/>
        </w:rPr>
        <w:t xml:space="preserve">the population and if their provision is stable or not. </w:t>
      </w:r>
    </w:p>
    <w:p w14:paraId="686D8452" w14:textId="10877735" w:rsidR="00BD5D02" w:rsidRPr="00A17D9B" w:rsidRDefault="00BD5D02" w:rsidP="00BD5D02">
      <w:pPr>
        <w:spacing w:before="120" w:line="320" w:lineRule="atLeast"/>
        <w:jc w:val="both"/>
        <w:rPr>
          <w:rFonts w:ascii="Garamond" w:eastAsia="Garamond" w:hAnsi="Garamond" w:cs="Garamond"/>
          <w:noProof/>
          <w:sz w:val="24"/>
          <w:szCs w:val="24"/>
          <w:lang w:val="en-GB"/>
        </w:rPr>
      </w:pPr>
      <w:r w:rsidRPr="00A17D9B">
        <w:rPr>
          <w:rFonts w:ascii="Garamond" w:eastAsia="Garamond" w:hAnsi="Garamond" w:cs="Garamond"/>
          <w:noProof/>
          <w:sz w:val="24"/>
          <w:szCs w:val="24"/>
          <w:lang w:val="en-GB"/>
        </w:rPr>
        <w:t>But a common good approach to development do</w:t>
      </w:r>
      <w:r w:rsidR="00597A26" w:rsidRPr="00A17D9B">
        <w:rPr>
          <w:rFonts w:ascii="Garamond" w:eastAsia="Garamond" w:hAnsi="Garamond" w:cs="Garamond"/>
          <w:noProof/>
          <w:sz w:val="24"/>
          <w:szCs w:val="24"/>
          <w:lang w:val="en-GB"/>
        </w:rPr>
        <w:t>es</w:t>
      </w:r>
      <w:r w:rsidRPr="00A17D9B">
        <w:rPr>
          <w:rFonts w:ascii="Garamond" w:eastAsia="Garamond" w:hAnsi="Garamond" w:cs="Garamond"/>
          <w:noProof/>
          <w:sz w:val="24"/>
          <w:szCs w:val="24"/>
          <w:lang w:val="en-GB"/>
        </w:rPr>
        <w:t xml:space="preserve"> not settle only for a </w:t>
      </w:r>
      <w:r w:rsidRPr="00A17D9B">
        <w:rPr>
          <w:rFonts w:ascii="Garamond" w:eastAsia="Garamond" w:hAnsi="Garamond" w:cs="Garamond"/>
          <w:i/>
          <w:iCs/>
          <w:noProof/>
          <w:sz w:val="24"/>
          <w:szCs w:val="24"/>
          <w:lang w:val="en-GB"/>
        </w:rPr>
        <w:t xml:space="preserve">minimal </w:t>
      </w:r>
      <w:r w:rsidR="00597A26" w:rsidRPr="00A17D9B">
        <w:rPr>
          <w:rFonts w:ascii="Garamond" w:eastAsia="Garamond" w:hAnsi="Garamond" w:cs="Garamond"/>
          <w:noProof/>
          <w:sz w:val="24"/>
          <w:szCs w:val="24"/>
          <w:lang w:val="en-GB"/>
        </w:rPr>
        <w:t>threshold of humanity,</w:t>
      </w:r>
      <w:r w:rsidRPr="00A17D9B">
        <w:rPr>
          <w:rFonts w:ascii="Garamond" w:eastAsia="Garamond" w:hAnsi="Garamond" w:cs="Garamond"/>
          <w:i/>
          <w:iCs/>
          <w:noProof/>
          <w:sz w:val="24"/>
          <w:szCs w:val="24"/>
          <w:lang w:val="en-GB"/>
        </w:rPr>
        <w:t xml:space="preserve"> </w:t>
      </w:r>
      <w:r w:rsidR="00597A26" w:rsidRPr="00A17D9B">
        <w:rPr>
          <w:rFonts w:ascii="Garamond" w:eastAsia="Garamond" w:hAnsi="Garamond" w:cs="Garamond"/>
          <w:noProof/>
          <w:sz w:val="24"/>
          <w:szCs w:val="24"/>
          <w:lang w:val="en-GB"/>
        </w:rPr>
        <w:t>w</w:t>
      </w:r>
      <w:r w:rsidRPr="00A17D9B">
        <w:rPr>
          <w:rFonts w:ascii="Garamond" w:eastAsia="Garamond" w:hAnsi="Garamond" w:cs="Garamond"/>
          <w:noProof/>
          <w:sz w:val="24"/>
          <w:szCs w:val="24"/>
          <w:lang w:val="en-GB"/>
        </w:rPr>
        <w:t>e</w:t>
      </w:r>
      <w:r w:rsidR="00597A26" w:rsidRPr="00A17D9B">
        <w:rPr>
          <w:rFonts w:ascii="Garamond" w:eastAsia="Garamond" w:hAnsi="Garamond" w:cs="Garamond"/>
          <w:noProof/>
          <w:sz w:val="24"/>
          <w:szCs w:val="24"/>
          <w:lang w:val="en-GB"/>
        </w:rPr>
        <w:t xml:space="preserve"> are concerned with</w:t>
      </w:r>
      <w:r w:rsidRPr="00A17D9B">
        <w:rPr>
          <w:rFonts w:ascii="Garamond" w:eastAsia="Garamond" w:hAnsi="Garamond" w:cs="Garamond"/>
          <w:noProof/>
          <w:sz w:val="24"/>
          <w:szCs w:val="24"/>
          <w:lang w:val="en-GB"/>
        </w:rPr>
        <w:t xml:space="preserve"> the overall outcome of the social system in terms of humanity, thus proposing to measure the </w:t>
      </w:r>
      <w:r w:rsidRPr="00A17D9B">
        <w:rPr>
          <w:rFonts w:ascii="Garamond" w:eastAsia="Garamond" w:hAnsi="Garamond" w:cs="Garamond"/>
          <w:i/>
          <w:iCs/>
          <w:noProof/>
          <w:sz w:val="24"/>
          <w:szCs w:val="24"/>
          <w:lang w:val="en-GB"/>
        </w:rPr>
        <w:t>core habitus</w:t>
      </w:r>
      <w:r w:rsidRPr="00A17D9B">
        <w:rPr>
          <w:rFonts w:ascii="Garamond" w:eastAsia="Garamond" w:hAnsi="Garamond" w:cs="Garamond"/>
          <w:noProof/>
          <w:sz w:val="24"/>
          <w:szCs w:val="24"/>
          <w:lang w:val="en-GB"/>
        </w:rPr>
        <w:t xml:space="preserve"> generated by the nexus. Indeed, each nexus actualizes some </w:t>
      </w:r>
      <w:r w:rsidRPr="00A17D9B">
        <w:rPr>
          <w:rFonts w:ascii="Garamond" w:eastAsia="Garamond" w:hAnsi="Garamond" w:cs="Garamond"/>
          <w:i/>
          <w:iCs/>
          <w:noProof/>
          <w:sz w:val="24"/>
          <w:szCs w:val="24"/>
          <w:lang w:val="en-GB"/>
        </w:rPr>
        <w:t xml:space="preserve">values </w:t>
      </w:r>
      <w:r w:rsidRPr="00A17D9B">
        <w:rPr>
          <w:rFonts w:ascii="Garamond" w:eastAsia="Garamond" w:hAnsi="Garamond" w:cs="Garamond"/>
          <w:noProof/>
          <w:sz w:val="24"/>
          <w:szCs w:val="24"/>
          <w:lang w:val="en-GB"/>
        </w:rPr>
        <w:t>linked to its main institutions and overall architecture;</w:t>
      </w:r>
      <w:r w:rsidRPr="00A17D9B">
        <w:rPr>
          <w:rFonts w:ascii="Garamond" w:eastAsia="Garamond" w:hAnsi="Garamond" w:cs="Garamond"/>
          <w:i/>
          <w:iCs/>
          <w:noProof/>
          <w:sz w:val="24"/>
          <w:szCs w:val="24"/>
          <w:lang w:val="en-GB"/>
        </w:rPr>
        <w:t xml:space="preserve"> </w:t>
      </w:r>
      <w:r w:rsidRPr="00A17D9B">
        <w:rPr>
          <w:rFonts w:ascii="Garamond" w:eastAsia="Garamond" w:hAnsi="Garamond" w:cs="Garamond"/>
          <w:noProof/>
          <w:sz w:val="24"/>
          <w:szCs w:val="24"/>
          <w:lang w:val="en-GB"/>
        </w:rPr>
        <w:t>values</w:t>
      </w:r>
      <w:r w:rsidRPr="00A17D9B">
        <w:rPr>
          <w:rFonts w:ascii="Garamond" w:eastAsia="Garamond" w:hAnsi="Garamond" w:cs="Garamond"/>
          <w:i/>
          <w:iCs/>
          <w:noProof/>
          <w:sz w:val="24"/>
          <w:szCs w:val="24"/>
          <w:lang w:val="en-GB"/>
        </w:rPr>
        <w:t xml:space="preserve"> </w:t>
      </w:r>
      <w:r w:rsidRPr="00A17D9B">
        <w:rPr>
          <w:rFonts w:ascii="Garamond" w:eastAsia="Garamond" w:hAnsi="Garamond" w:cs="Garamond"/>
          <w:noProof/>
          <w:sz w:val="24"/>
          <w:szCs w:val="24"/>
          <w:lang w:val="en-GB"/>
        </w:rPr>
        <w:t>that can be seen as its systemic outcome. Now these are not abstract values, but concrete ones, embedded in the common practices building up the humanity of our living together. According to Bourdieu</w:t>
      </w:r>
      <w:r w:rsidR="007B6724" w:rsidRPr="00A17D9B">
        <w:rPr>
          <w:rFonts w:ascii="Garamond" w:eastAsia="Garamond" w:hAnsi="Garamond" w:cs="Garamond"/>
          <w:noProof/>
          <w:sz w:val="24"/>
          <w:szCs w:val="24"/>
          <w:lang w:val="en-GB"/>
        </w:rPr>
        <w:t xml:space="preserve"> (1990, 53, 135-142)</w:t>
      </w:r>
      <w:r w:rsidRPr="00A17D9B">
        <w:rPr>
          <w:rFonts w:ascii="Garamond" w:eastAsia="Garamond" w:hAnsi="Garamond" w:cs="Garamond"/>
          <w:noProof/>
          <w:sz w:val="24"/>
          <w:szCs w:val="24"/>
          <w:lang w:val="en-GB"/>
        </w:rPr>
        <w:t xml:space="preserve">, these core habitus describe the </w:t>
      </w:r>
      <w:r w:rsidRPr="00A17D9B">
        <w:rPr>
          <w:rFonts w:ascii="Garamond" w:eastAsia="Garamond" w:hAnsi="Garamond" w:cs="Garamond"/>
          <w:i/>
          <w:iCs/>
          <w:noProof/>
          <w:sz w:val="24"/>
          <w:szCs w:val="24"/>
          <w:lang w:val="en-GB"/>
        </w:rPr>
        <w:t xml:space="preserve">permanent internalization of a given social order in </w:t>
      </w:r>
      <w:r w:rsidRPr="00A17D9B">
        <w:rPr>
          <w:rFonts w:ascii="Garamond" w:eastAsia="Garamond" w:hAnsi="Garamond" w:cs="Garamond"/>
          <w:i/>
          <w:iCs/>
          <w:noProof/>
          <w:sz w:val="24"/>
          <w:szCs w:val="24"/>
          <w:lang w:val="en-GB"/>
        </w:rPr>
        <w:lastRenderedPageBreak/>
        <w:t>a person</w:t>
      </w:r>
      <w:r w:rsidRPr="00A17D9B">
        <w:rPr>
          <w:rFonts w:ascii="Garamond" w:eastAsia="Garamond" w:hAnsi="Garamond" w:cs="Garamond"/>
          <w:noProof/>
          <w:sz w:val="24"/>
          <w:szCs w:val="24"/>
          <w:lang w:val="en-GB"/>
        </w:rPr>
        <w:t xml:space="preserve"> – in our case the nexus – </w:t>
      </w:r>
      <w:r w:rsidRPr="00A17D9B">
        <w:rPr>
          <w:rFonts w:ascii="Garamond" w:eastAsia="Garamond" w:hAnsi="Garamond" w:cs="Garamond"/>
          <w:i/>
          <w:iCs/>
          <w:noProof/>
          <w:sz w:val="24"/>
          <w:szCs w:val="24"/>
          <w:lang w:val="en-GB"/>
        </w:rPr>
        <w:t>that does not prescribe any specific actions, but nonetheless orient actors to some specific set of goals</w:t>
      </w:r>
      <w:r w:rsidRPr="00A17D9B">
        <w:rPr>
          <w:rStyle w:val="Refdenotaalpie"/>
          <w:rFonts w:ascii="Garamond" w:eastAsia="Garamond" w:hAnsi="Garamond" w:cs="Garamond"/>
          <w:noProof/>
          <w:sz w:val="24"/>
          <w:szCs w:val="24"/>
          <w:lang w:val="en-GB"/>
        </w:rPr>
        <w:footnoteReference w:id="14"/>
      </w:r>
      <w:r w:rsidRPr="00A17D9B">
        <w:rPr>
          <w:rFonts w:ascii="Garamond" w:eastAsia="Garamond" w:hAnsi="Garamond" w:cs="Garamond"/>
          <w:noProof/>
          <w:sz w:val="24"/>
          <w:szCs w:val="24"/>
          <w:lang w:val="en-GB"/>
        </w:rPr>
        <w:t xml:space="preserve">. Habitus are the subjective, internalized representation of a given social order. They are not heteronomous norms to the subject, but important features of its own autonomy. Habitus are the way through which a social system </w:t>
      </w:r>
      <w:r w:rsidRPr="00A17D9B">
        <w:rPr>
          <w:rFonts w:ascii="Garamond" w:eastAsia="Garamond" w:hAnsi="Garamond" w:cs="Garamond"/>
          <w:i/>
          <w:iCs/>
          <w:noProof/>
          <w:sz w:val="24"/>
          <w:szCs w:val="24"/>
          <w:lang w:val="en-GB"/>
        </w:rPr>
        <w:t>normalizes and synchronises</w:t>
      </w:r>
      <w:r w:rsidRPr="00A17D9B">
        <w:rPr>
          <w:rFonts w:ascii="Garamond" w:eastAsia="Garamond" w:hAnsi="Garamond" w:cs="Garamond"/>
          <w:noProof/>
          <w:sz w:val="24"/>
          <w:szCs w:val="24"/>
          <w:lang w:val="en-GB"/>
        </w:rPr>
        <w:t xml:space="preserve"> individual behaviours; how it produces similar forms of behaviours without pressure on or restriction to individual freedom</w:t>
      </w:r>
      <w:r w:rsidR="007B6724" w:rsidRPr="00A17D9B">
        <w:rPr>
          <w:rFonts w:ascii="Garamond" w:eastAsia="Garamond" w:hAnsi="Garamond" w:cs="Garamond"/>
          <w:noProof/>
          <w:sz w:val="24"/>
          <w:szCs w:val="24"/>
          <w:lang w:val="en-GB"/>
        </w:rPr>
        <w:t xml:space="preserve"> (Giddens, 1986, 25-27)</w:t>
      </w:r>
      <w:r w:rsidRPr="00A17D9B">
        <w:rPr>
          <w:rFonts w:ascii="Garamond" w:eastAsia="Garamond" w:hAnsi="Garamond" w:cs="Garamond"/>
          <w:noProof/>
          <w:sz w:val="24"/>
          <w:szCs w:val="24"/>
          <w:lang w:val="en-GB"/>
        </w:rPr>
        <w:t xml:space="preserve">. Social habitus are thus </w:t>
      </w:r>
      <w:r w:rsidRPr="00A17D9B">
        <w:rPr>
          <w:rFonts w:ascii="Garamond" w:eastAsia="Garamond" w:hAnsi="Garamond" w:cs="Garamond"/>
          <w:i/>
          <w:iCs/>
          <w:noProof/>
          <w:sz w:val="24"/>
          <w:szCs w:val="24"/>
          <w:lang w:val="en-GB"/>
        </w:rPr>
        <w:t>objectivized</w:t>
      </w:r>
      <w:r w:rsidRPr="00A17D9B">
        <w:rPr>
          <w:rFonts w:ascii="Garamond" w:eastAsia="Garamond" w:hAnsi="Garamond" w:cs="Garamond"/>
          <w:noProof/>
          <w:sz w:val="24"/>
          <w:szCs w:val="24"/>
          <w:lang w:val="en-GB"/>
        </w:rPr>
        <w:t xml:space="preserve"> as ‘standard expectation of behaviour’</w:t>
      </w:r>
      <w:r w:rsidR="007B6724" w:rsidRPr="00A17D9B">
        <w:rPr>
          <w:rFonts w:ascii="Garamond" w:eastAsia="Garamond" w:hAnsi="Garamond" w:cs="Garamond"/>
          <w:noProof/>
          <w:sz w:val="24"/>
          <w:szCs w:val="24"/>
          <w:lang w:val="en-GB"/>
        </w:rPr>
        <w:t xml:space="preserve"> (Bourdieu, 1990, 135-142)</w:t>
      </w:r>
      <w:r w:rsidRPr="00A17D9B">
        <w:rPr>
          <w:rFonts w:ascii="Garamond" w:eastAsia="Garamond" w:hAnsi="Garamond" w:cs="Garamond"/>
          <w:noProof/>
          <w:sz w:val="24"/>
          <w:szCs w:val="24"/>
          <w:lang w:val="en-GB"/>
        </w:rPr>
        <w:t xml:space="preserve">, i.e. the behaviours that </w:t>
      </w:r>
      <w:r w:rsidRPr="00A17D9B">
        <w:rPr>
          <w:rFonts w:ascii="Garamond" w:eastAsia="Garamond" w:hAnsi="Garamond" w:cs="Garamond"/>
          <w:i/>
          <w:iCs/>
          <w:noProof/>
          <w:sz w:val="24"/>
          <w:szCs w:val="24"/>
          <w:lang w:val="en-GB"/>
        </w:rPr>
        <w:t>others</w:t>
      </w:r>
      <w:r w:rsidRPr="00A17D9B">
        <w:rPr>
          <w:rFonts w:ascii="Garamond" w:eastAsia="Garamond" w:hAnsi="Garamond" w:cs="Garamond"/>
          <w:noProof/>
          <w:sz w:val="24"/>
          <w:szCs w:val="24"/>
          <w:lang w:val="en-GB"/>
        </w:rPr>
        <w:t xml:space="preserve"> </w:t>
      </w:r>
      <w:r w:rsidR="00976CFA" w:rsidRPr="00A17D9B">
        <w:rPr>
          <w:rFonts w:ascii="Garamond" w:eastAsia="Garamond" w:hAnsi="Garamond" w:cs="Garamond"/>
          <w:i/>
          <w:iCs/>
          <w:noProof/>
          <w:sz w:val="24"/>
          <w:szCs w:val="24"/>
          <w:lang w:val="en-GB"/>
        </w:rPr>
        <w:t>expect me to abide by</w:t>
      </w:r>
      <w:r w:rsidRPr="00A17D9B">
        <w:rPr>
          <w:rFonts w:ascii="Garamond" w:eastAsia="Garamond" w:hAnsi="Garamond" w:cs="Garamond"/>
          <w:noProof/>
          <w:sz w:val="24"/>
          <w:szCs w:val="24"/>
          <w:lang w:val="en-GB"/>
        </w:rPr>
        <w:t>,</w:t>
      </w:r>
      <w:r w:rsidR="00976CFA" w:rsidRPr="00A17D9B">
        <w:rPr>
          <w:rFonts w:ascii="Garamond" w:eastAsia="Garamond" w:hAnsi="Garamond" w:cs="Garamond"/>
          <w:noProof/>
          <w:sz w:val="24"/>
          <w:szCs w:val="24"/>
          <w:lang w:val="en-GB"/>
        </w:rPr>
        <w:t xml:space="preserve"> like paying</w:t>
      </w:r>
      <w:r w:rsidRPr="00A17D9B">
        <w:rPr>
          <w:rFonts w:ascii="Garamond" w:eastAsia="Garamond" w:hAnsi="Garamond" w:cs="Garamond"/>
          <w:noProof/>
          <w:sz w:val="24"/>
          <w:szCs w:val="24"/>
          <w:lang w:val="en-GB"/>
        </w:rPr>
        <w:t xml:space="preserve"> after eating in a restaurant</w:t>
      </w:r>
      <w:r w:rsidR="007B6724" w:rsidRPr="00A17D9B">
        <w:rPr>
          <w:rFonts w:ascii="Garamond" w:eastAsia="Garamond" w:hAnsi="Garamond" w:cs="Garamond"/>
          <w:noProof/>
          <w:sz w:val="24"/>
          <w:szCs w:val="24"/>
          <w:lang w:val="en-GB"/>
        </w:rPr>
        <w:t>,</w:t>
      </w:r>
      <w:r w:rsidR="00976CFA" w:rsidRPr="00A17D9B">
        <w:rPr>
          <w:rFonts w:ascii="Garamond" w:eastAsia="Garamond" w:hAnsi="Garamond" w:cs="Garamond"/>
          <w:noProof/>
          <w:sz w:val="24"/>
          <w:szCs w:val="24"/>
          <w:lang w:val="en-GB"/>
        </w:rPr>
        <w:t xml:space="preserve"> not jumping on a table in a class</w:t>
      </w:r>
      <w:r w:rsidRPr="00A17D9B">
        <w:rPr>
          <w:rFonts w:ascii="Garamond" w:eastAsia="Garamond" w:hAnsi="Garamond" w:cs="Garamond"/>
          <w:noProof/>
          <w:sz w:val="24"/>
          <w:szCs w:val="24"/>
          <w:lang w:val="en-GB"/>
        </w:rPr>
        <w:t>room</w:t>
      </w:r>
      <w:r w:rsidR="00976CFA" w:rsidRPr="00A17D9B">
        <w:rPr>
          <w:rFonts w:ascii="Garamond" w:eastAsia="Garamond" w:hAnsi="Garamond" w:cs="Garamond"/>
          <w:noProof/>
          <w:sz w:val="24"/>
          <w:szCs w:val="24"/>
          <w:lang w:val="en-GB"/>
        </w:rPr>
        <w:t xml:space="preserve"> or not</w:t>
      </w:r>
      <w:r w:rsidRPr="00A17D9B">
        <w:rPr>
          <w:rFonts w:ascii="Garamond" w:eastAsia="Garamond" w:hAnsi="Garamond" w:cs="Garamond"/>
          <w:noProof/>
          <w:sz w:val="24"/>
          <w:szCs w:val="24"/>
          <w:lang w:val="en-GB"/>
        </w:rPr>
        <w:t xml:space="preserve"> commit</w:t>
      </w:r>
      <w:r w:rsidR="00976CFA" w:rsidRPr="00A17D9B">
        <w:rPr>
          <w:rFonts w:ascii="Garamond" w:eastAsia="Garamond" w:hAnsi="Garamond" w:cs="Garamond"/>
          <w:noProof/>
          <w:sz w:val="24"/>
          <w:szCs w:val="24"/>
          <w:lang w:val="en-GB"/>
        </w:rPr>
        <w:t>ing</w:t>
      </w:r>
      <w:r w:rsidRPr="00A17D9B">
        <w:rPr>
          <w:rFonts w:ascii="Garamond" w:eastAsia="Garamond" w:hAnsi="Garamond" w:cs="Garamond"/>
          <w:noProof/>
          <w:sz w:val="24"/>
          <w:szCs w:val="24"/>
          <w:lang w:val="en-GB"/>
        </w:rPr>
        <w:t xml:space="preserve"> murder to solve a conflict with my neighbour. </w:t>
      </w:r>
    </w:p>
    <w:p w14:paraId="4C7A3E5E" w14:textId="2F2A1C39" w:rsidR="00BD5D02" w:rsidRPr="00A17D9B" w:rsidRDefault="00BD5D02" w:rsidP="00BD5D02">
      <w:pPr>
        <w:spacing w:before="120" w:line="320" w:lineRule="atLeast"/>
        <w:jc w:val="both"/>
        <w:rPr>
          <w:rFonts w:ascii="Garamond" w:eastAsia="Garamond" w:hAnsi="Garamond" w:cs="Garamond"/>
          <w:noProof/>
          <w:sz w:val="24"/>
          <w:szCs w:val="24"/>
          <w:lang w:val="en-GB"/>
        </w:rPr>
      </w:pPr>
      <w:r w:rsidRPr="00A17D9B">
        <w:rPr>
          <w:rFonts w:ascii="Garamond" w:eastAsia="Garamond" w:hAnsi="Garamond" w:cs="Garamond"/>
          <w:noProof/>
          <w:sz w:val="24"/>
          <w:szCs w:val="24"/>
          <w:lang w:val="en-GB"/>
        </w:rPr>
        <w:t>Now</w:t>
      </w:r>
      <w:r w:rsidR="00C057F9" w:rsidRPr="00A17D9B">
        <w:rPr>
          <w:rFonts w:ascii="Garamond" w:eastAsia="Garamond" w:hAnsi="Garamond" w:cs="Garamond"/>
          <w:noProof/>
          <w:sz w:val="24"/>
          <w:szCs w:val="24"/>
          <w:lang w:val="en-GB"/>
        </w:rPr>
        <w:t>,</w:t>
      </w:r>
      <w:r w:rsidRPr="00A17D9B">
        <w:rPr>
          <w:rFonts w:ascii="Garamond" w:eastAsia="Garamond" w:hAnsi="Garamond" w:cs="Garamond"/>
          <w:noProof/>
          <w:sz w:val="24"/>
          <w:szCs w:val="24"/>
          <w:lang w:val="en-GB"/>
        </w:rPr>
        <w:t xml:space="preserve"> for the </w:t>
      </w:r>
      <w:r w:rsidR="00C057F9" w:rsidRPr="00A17D9B">
        <w:rPr>
          <w:rFonts w:ascii="Garamond" w:eastAsia="Garamond" w:hAnsi="Garamond" w:cs="Garamond"/>
          <w:noProof/>
          <w:sz w:val="24"/>
          <w:szCs w:val="24"/>
          <w:lang w:val="en-GB"/>
        </w:rPr>
        <w:t>matrix, we are not interested in</w:t>
      </w:r>
      <w:r w:rsidRPr="00A17D9B">
        <w:rPr>
          <w:rFonts w:ascii="Garamond" w:eastAsia="Garamond" w:hAnsi="Garamond" w:cs="Garamond"/>
          <w:noProof/>
          <w:sz w:val="24"/>
          <w:szCs w:val="24"/>
          <w:lang w:val="en-GB"/>
        </w:rPr>
        <w:t xml:space="preserve"> any social habitus</w:t>
      </w:r>
      <w:r w:rsidR="00C057F9" w:rsidRPr="00A17D9B">
        <w:rPr>
          <w:rFonts w:ascii="Garamond" w:eastAsia="Garamond" w:hAnsi="Garamond" w:cs="Garamond"/>
          <w:noProof/>
          <w:sz w:val="24"/>
          <w:szCs w:val="24"/>
          <w:lang w:val="en-GB"/>
        </w:rPr>
        <w:t>, but only in</w:t>
      </w:r>
      <w:r w:rsidRPr="00A17D9B">
        <w:rPr>
          <w:rFonts w:ascii="Garamond" w:eastAsia="Garamond" w:hAnsi="Garamond" w:cs="Garamond"/>
          <w:noProof/>
          <w:sz w:val="24"/>
          <w:szCs w:val="24"/>
          <w:lang w:val="en-GB"/>
        </w:rPr>
        <w:t xml:space="preserve"> a normative set of social practice against which to compare the habitus created by a specific nexus. We propose the following list to account for the values and social practices around which most</w:t>
      </w:r>
      <w:r w:rsidR="00C057F9" w:rsidRPr="00A17D9B">
        <w:rPr>
          <w:rFonts w:ascii="Garamond" w:eastAsia="Garamond" w:hAnsi="Garamond" w:cs="Garamond"/>
          <w:noProof/>
          <w:sz w:val="24"/>
          <w:szCs w:val="24"/>
          <w:lang w:val="en-GB"/>
        </w:rPr>
        <w:t>,</w:t>
      </w:r>
      <w:r w:rsidRPr="00A17D9B">
        <w:rPr>
          <w:rFonts w:ascii="Garamond" w:eastAsia="Garamond" w:hAnsi="Garamond" w:cs="Garamond"/>
          <w:noProof/>
          <w:sz w:val="24"/>
          <w:szCs w:val="24"/>
          <w:lang w:val="en-GB"/>
        </w:rPr>
        <w:t xml:space="preserve"> if not all</w:t>
      </w:r>
      <w:r w:rsidR="00C057F9" w:rsidRPr="00A17D9B">
        <w:rPr>
          <w:rFonts w:ascii="Garamond" w:eastAsia="Garamond" w:hAnsi="Garamond" w:cs="Garamond"/>
          <w:noProof/>
          <w:sz w:val="24"/>
          <w:szCs w:val="24"/>
          <w:lang w:val="en-GB"/>
        </w:rPr>
        <w:t>, polit</w:t>
      </w:r>
      <w:r w:rsidRPr="00A17D9B">
        <w:rPr>
          <w:rFonts w:ascii="Garamond" w:eastAsia="Garamond" w:hAnsi="Garamond" w:cs="Garamond"/>
          <w:noProof/>
          <w:sz w:val="24"/>
          <w:szCs w:val="24"/>
          <w:lang w:val="en-GB"/>
        </w:rPr>
        <w:t>ies have</w:t>
      </w:r>
      <w:r w:rsidR="00C057F9" w:rsidRPr="00A17D9B">
        <w:rPr>
          <w:rFonts w:ascii="Garamond" w:eastAsia="Garamond" w:hAnsi="Garamond" w:cs="Garamond"/>
          <w:noProof/>
          <w:sz w:val="24"/>
          <w:szCs w:val="24"/>
          <w:lang w:val="en-GB"/>
        </w:rPr>
        <w:t xml:space="preserve"> been</w:t>
      </w:r>
      <w:r w:rsidRPr="00A17D9B">
        <w:rPr>
          <w:rFonts w:ascii="Garamond" w:eastAsia="Garamond" w:hAnsi="Garamond" w:cs="Garamond"/>
          <w:noProof/>
          <w:sz w:val="24"/>
          <w:szCs w:val="24"/>
          <w:lang w:val="en-GB"/>
        </w:rPr>
        <w:t xml:space="preserve"> organized. They reflect a widely shared wisdom of </w:t>
      </w:r>
      <w:r w:rsidR="00C057F9" w:rsidRPr="00A17D9B">
        <w:rPr>
          <w:rFonts w:ascii="Garamond" w:eastAsia="Garamond" w:hAnsi="Garamond" w:cs="Garamond"/>
          <w:noProof/>
          <w:sz w:val="24"/>
          <w:szCs w:val="24"/>
          <w:lang w:val="en-GB"/>
        </w:rPr>
        <w:t xml:space="preserve">what being human together means, </w:t>
      </w:r>
      <w:r w:rsidRPr="00A17D9B">
        <w:rPr>
          <w:rFonts w:ascii="Garamond" w:eastAsia="Garamond" w:hAnsi="Garamond" w:cs="Garamond"/>
          <w:noProof/>
          <w:sz w:val="24"/>
          <w:szCs w:val="24"/>
          <w:lang w:val="en-GB"/>
        </w:rPr>
        <w:t xml:space="preserve">as </w:t>
      </w:r>
      <w:r w:rsidR="007B6724" w:rsidRPr="00A17D9B">
        <w:rPr>
          <w:rFonts w:ascii="Garamond" w:eastAsia="Garamond" w:hAnsi="Garamond" w:cs="Garamond"/>
          <w:noProof/>
          <w:sz w:val="24"/>
          <w:szCs w:val="24"/>
          <w:lang w:val="en-GB"/>
        </w:rPr>
        <w:t xml:space="preserve">far as </w:t>
      </w:r>
      <w:r w:rsidRPr="00A17D9B">
        <w:rPr>
          <w:rFonts w:ascii="Garamond" w:eastAsia="Garamond" w:hAnsi="Garamond" w:cs="Garamond"/>
          <w:noProof/>
          <w:sz w:val="24"/>
          <w:szCs w:val="24"/>
          <w:lang w:val="en-GB"/>
        </w:rPr>
        <w:t>behaviour</w:t>
      </w:r>
      <w:r w:rsidR="007B6724" w:rsidRPr="00A17D9B">
        <w:rPr>
          <w:rFonts w:ascii="Garamond" w:eastAsia="Garamond" w:hAnsi="Garamond" w:cs="Garamond"/>
          <w:noProof/>
          <w:sz w:val="24"/>
          <w:szCs w:val="24"/>
          <w:lang w:val="en-GB"/>
        </w:rPr>
        <w:t>s are concerned</w:t>
      </w:r>
      <w:r w:rsidRPr="00A17D9B">
        <w:rPr>
          <w:rFonts w:ascii="Garamond" w:eastAsia="Garamond" w:hAnsi="Garamond" w:cs="Garamond"/>
          <w:noProof/>
          <w:sz w:val="24"/>
          <w:szCs w:val="24"/>
          <w:lang w:val="en-GB"/>
        </w:rPr>
        <w:t>.</w:t>
      </w:r>
    </w:p>
    <w:p w14:paraId="6EF651FB" w14:textId="4ECDE478" w:rsidR="00BD5D02" w:rsidRPr="00A17D9B" w:rsidRDefault="00BD5D02" w:rsidP="00BD5D02">
      <w:pPr>
        <w:pStyle w:val="Prrafodelista"/>
        <w:numPr>
          <w:ilvl w:val="0"/>
          <w:numId w:val="5"/>
        </w:numPr>
        <w:spacing w:after="0" w:line="320" w:lineRule="atLeast"/>
        <w:ind w:left="714" w:hanging="357"/>
        <w:jc w:val="both"/>
        <w:rPr>
          <w:rFonts w:ascii="Garamond" w:eastAsia="Garamond" w:hAnsi="Garamond" w:cs="Garamond"/>
          <w:noProof/>
          <w:sz w:val="24"/>
          <w:szCs w:val="24"/>
          <w:lang w:val="en-GB"/>
        </w:rPr>
      </w:pPr>
      <w:r w:rsidRPr="00A17D9B">
        <w:rPr>
          <w:rFonts w:ascii="Garamond" w:eastAsia="Garamond" w:hAnsi="Garamond" w:cs="Garamond"/>
          <w:noProof/>
          <w:sz w:val="24"/>
          <w:szCs w:val="24"/>
          <w:lang w:val="en-GB"/>
        </w:rPr>
        <w:t>The habitus of</w:t>
      </w:r>
      <w:r w:rsidRPr="00A17D9B">
        <w:rPr>
          <w:rFonts w:ascii="Garamond" w:eastAsia="Garamond" w:hAnsi="Garamond" w:cs="Garamond"/>
          <w:i/>
          <w:iCs/>
          <w:noProof/>
          <w:sz w:val="24"/>
          <w:szCs w:val="24"/>
          <w:lang w:val="en-GB"/>
        </w:rPr>
        <w:t xml:space="preserve"> freedom and responsibility </w:t>
      </w:r>
      <w:r w:rsidRPr="00A17D9B">
        <w:rPr>
          <w:rFonts w:ascii="Garamond" w:eastAsia="Garamond" w:hAnsi="Garamond" w:cs="Garamond"/>
          <w:noProof/>
          <w:sz w:val="24"/>
          <w:szCs w:val="24"/>
          <w:lang w:val="en-GB"/>
        </w:rPr>
        <w:t>framing the capability to act as au</w:t>
      </w:r>
      <w:r w:rsidR="00C057F9" w:rsidRPr="00A17D9B">
        <w:rPr>
          <w:rFonts w:ascii="Garamond" w:eastAsia="Garamond" w:hAnsi="Garamond" w:cs="Garamond"/>
          <w:noProof/>
          <w:sz w:val="24"/>
          <w:szCs w:val="24"/>
          <w:lang w:val="en-GB"/>
        </w:rPr>
        <w:t xml:space="preserve">tonomous persons and take </w:t>
      </w:r>
      <w:r w:rsidRPr="00A17D9B">
        <w:rPr>
          <w:rFonts w:ascii="Garamond" w:eastAsia="Garamond" w:hAnsi="Garamond" w:cs="Garamond"/>
          <w:noProof/>
          <w:sz w:val="24"/>
          <w:szCs w:val="24"/>
          <w:lang w:val="en-GB"/>
        </w:rPr>
        <w:t>responsibility for our own decisions and actions.</w:t>
      </w:r>
    </w:p>
    <w:p w14:paraId="7AB40F8D" w14:textId="77777777" w:rsidR="00BD5D02" w:rsidRPr="00A17D9B" w:rsidRDefault="00BD5D02" w:rsidP="00BD5D02">
      <w:pPr>
        <w:pStyle w:val="Prrafodelista"/>
        <w:numPr>
          <w:ilvl w:val="0"/>
          <w:numId w:val="5"/>
        </w:numPr>
        <w:spacing w:before="120" w:after="0" w:line="320" w:lineRule="atLeast"/>
        <w:jc w:val="both"/>
        <w:rPr>
          <w:rFonts w:ascii="Garamond" w:eastAsia="Garamond" w:hAnsi="Garamond" w:cs="Garamond"/>
          <w:noProof/>
          <w:sz w:val="24"/>
          <w:szCs w:val="24"/>
          <w:lang w:val="en-GB"/>
        </w:rPr>
      </w:pPr>
      <w:r w:rsidRPr="00A17D9B">
        <w:rPr>
          <w:rFonts w:ascii="Garamond" w:eastAsia="Garamond" w:hAnsi="Garamond" w:cs="Garamond"/>
          <w:noProof/>
          <w:sz w:val="24"/>
          <w:szCs w:val="24"/>
          <w:lang w:val="en-GB"/>
        </w:rPr>
        <w:t xml:space="preserve">The habitus of </w:t>
      </w:r>
      <w:r w:rsidRPr="00A17D9B">
        <w:rPr>
          <w:rFonts w:ascii="Garamond" w:eastAsia="Garamond" w:hAnsi="Garamond" w:cs="Garamond"/>
          <w:i/>
          <w:iCs/>
          <w:noProof/>
          <w:sz w:val="24"/>
          <w:szCs w:val="24"/>
          <w:lang w:val="en-GB"/>
        </w:rPr>
        <w:t>justice and solidarity</w:t>
      </w:r>
      <w:r w:rsidRPr="00A17D9B">
        <w:rPr>
          <w:rFonts w:ascii="Garamond" w:eastAsia="Garamond" w:hAnsi="Garamond" w:cs="Garamond"/>
          <w:noProof/>
          <w:sz w:val="24"/>
          <w:szCs w:val="24"/>
          <w:lang w:val="en-GB"/>
        </w:rPr>
        <w:t xml:space="preserve"> framing the capability to respect the dignity and freedom of others and help them in time of need or distress. </w:t>
      </w:r>
    </w:p>
    <w:p w14:paraId="68C5A0B6" w14:textId="77777777" w:rsidR="00BD5D02" w:rsidRPr="00A17D9B" w:rsidRDefault="00BD5D02" w:rsidP="00BD5D02">
      <w:pPr>
        <w:pStyle w:val="Prrafodelista"/>
        <w:numPr>
          <w:ilvl w:val="0"/>
          <w:numId w:val="5"/>
        </w:numPr>
        <w:spacing w:before="120" w:after="0" w:line="320" w:lineRule="atLeast"/>
        <w:jc w:val="both"/>
        <w:rPr>
          <w:rFonts w:ascii="Garamond" w:eastAsia="Garamond" w:hAnsi="Garamond" w:cs="Garamond"/>
          <w:noProof/>
          <w:sz w:val="24"/>
          <w:szCs w:val="24"/>
          <w:lang w:val="en-GB"/>
        </w:rPr>
      </w:pPr>
      <w:r w:rsidRPr="00A17D9B">
        <w:rPr>
          <w:rFonts w:ascii="Garamond" w:eastAsia="Garamond" w:hAnsi="Garamond" w:cs="Garamond"/>
          <w:noProof/>
          <w:sz w:val="24"/>
          <w:szCs w:val="24"/>
          <w:lang w:val="en-GB"/>
        </w:rPr>
        <w:t xml:space="preserve">The habitus of </w:t>
      </w:r>
      <w:r w:rsidRPr="00A17D9B">
        <w:rPr>
          <w:rFonts w:ascii="Garamond" w:eastAsia="Garamond" w:hAnsi="Garamond" w:cs="Garamond"/>
          <w:i/>
          <w:iCs/>
          <w:noProof/>
          <w:sz w:val="24"/>
          <w:szCs w:val="24"/>
          <w:lang w:val="en-GB"/>
        </w:rPr>
        <w:t xml:space="preserve">peace and concord </w:t>
      </w:r>
      <w:r w:rsidRPr="00A17D9B">
        <w:rPr>
          <w:rFonts w:ascii="Garamond" w:eastAsia="Garamond" w:hAnsi="Garamond" w:cs="Garamond"/>
          <w:noProof/>
          <w:sz w:val="24"/>
          <w:szCs w:val="24"/>
          <w:lang w:val="en-GB"/>
        </w:rPr>
        <w:t>framing</w:t>
      </w:r>
      <w:r w:rsidRPr="00A17D9B">
        <w:rPr>
          <w:rFonts w:ascii="Garamond" w:eastAsia="Garamond" w:hAnsi="Garamond" w:cs="Garamond"/>
          <w:i/>
          <w:iCs/>
          <w:noProof/>
          <w:sz w:val="24"/>
          <w:szCs w:val="24"/>
          <w:lang w:val="en-GB"/>
        </w:rPr>
        <w:t xml:space="preserve"> </w:t>
      </w:r>
      <w:r w:rsidRPr="00A17D9B">
        <w:rPr>
          <w:rFonts w:ascii="Garamond" w:eastAsia="Garamond" w:hAnsi="Garamond" w:cs="Garamond"/>
          <w:noProof/>
          <w:sz w:val="24"/>
          <w:szCs w:val="24"/>
          <w:lang w:val="en-GB"/>
        </w:rPr>
        <w:t xml:space="preserve">the capability to trust others not to use violence to resolve conflicts and seek cooperation and consensus as the way to govern our polity. </w:t>
      </w:r>
    </w:p>
    <w:p w14:paraId="00B35624" w14:textId="06D09CA9" w:rsidR="00BD5D02" w:rsidRPr="00A17D9B" w:rsidRDefault="00BD5D02" w:rsidP="00BD5D02">
      <w:pPr>
        <w:pStyle w:val="Prrafodelista"/>
        <w:numPr>
          <w:ilvl w:val="0"/>
          <w:numId w:val="5"/>
        </w:numPr>
        <w:spacing w:before="120" w:after="0" w:line="320" w:lineRule="atLeast"/>
        <w:jc w:val="both"/>
        <w:rPr>
          <w:rFonts w:ascii="Garamond" w:eastAsia="Garamond" w:hAnsi="Garamond" w:cs="Garamond"/>
          <w:noProof/>
          <w:sz w:val="24"/>
          <w:szCs w:val="24"/>
          <w:lang w:val="en-GB"/>
        </w:rPr>
      </w:pPr>
      <w:r w:rsidRPr="00A17D9B">
        <w:rPr>
          <w:rFonts w:ascii="Garamond" w:eastAsia="Garamond" w:hAnsi="Garamond" w:cs="Garamond"/>
          <w:noProof/>
          <w:sz w:val="24"/>
          <w:szCs w:val="24"/>
          <w:lang w:val="en-GB"/>
        </w:rPr>
        <w:t xml:space="preserve">The habitus of </w:t>
      </w:r>
      <w:r w:rsidRPr="00A17D9B">
        <w:rPr>
          <w:rFonts w:ascii="Garamond" w:eastAsia="Garamond" w:hAnsi="Garamond" w:cs="Garamond"/>
          <w:i/>
          <w:iCs/>
          <w:noProof/>
          <w:sz w:val="24"/>
          <w:szCs w:val="24"/>
          <w:lang w:val="en-GB"/>
        </w:rPr>
        <w:t>prudence and magnanimity</w:t>
      </w:r>
      <w:r w:rsidRPr="00A17D9B">
        <w:rPr>
          <w:rFonts w:ascii="Garamond" w:eastAsia="Garamond" w:hAnsi="Garamond" w:cs="Garamond"/>
          <w:noProof/>
          <w:sz w:val="24"/>
          <w:szCs w:val="24"/>
          <w:lang w:val="en-GB"/>
        </w:rPr>
        <w:t xml:space="preserve"> framing the capability to seek the truth and foresee the consequences of</w:t>
      </w:r>
      <w:r w:rsidR="008740AF" w:rsidRPr="00A17D9B">
        <w:rPr>
          <w:rFonts w:ascii="Garamond" w:eastAsia="Garamond" w:hAnsi="Garamond" w:cs="Garamond"/>
          <w:noProof/>
          <w:sz w:val="24"/>
          <w:szCs w:val="24"/>
          <w:lang w:val="en-GB"/>
        </w:rPr>
        <w:t xml:space="preserve"> our</w:t>
      </w:r>
      <w:r w:rsidRPr="00A17D9B">
        <w:rPr>
          <w:rFonts w:ascii="Garamond" w:eastAsia="Garamond" w:hAnsi="Garamond" w:cs="Garamond"/>
          <w:noProof/>
          <w:sz w:val="24"/>
          <w:szCs w:val="24"/>
          <w:lang w:val="en-GB"/>
        </w:rPr>
        <w:t xml:space="preserve"> actions. </w:t>
      </w:r>
    </w:p>
    <w:p w14:paraId="7AFC4564" w14:textId="05E1C642" w:rsidR="00BD5D02" w:rsidRPr="00A17D9B" w:rsidRDefault="00BD5D02" w:rsidP="00BD5D02">
      <w:pPr>
        <w:pStyle w:val="Prrafodelista"/>
        <w:numPr>
          <w:ilvl w:val="0"/>
          <w:numId w:val="5"/>
        </w:numPr>
        <w:spacing w:before="120" w:after="0" w:line="320" w:lineRule="atLeast"/>
        <w:jc w:val="both"/>
        <w:rPr>
          <w:rFonts w:ascii="Garamond" w:eastAsia="Garamond" w:hAnsi="Garamond" w:cs="Garamond"/>
          <w:noProof/>
          <w:sz w:val="24"/>
          <w:szCs w:val="24"/>
          <w:lang w:val="en-GB"/>
        </w:rPr>
      </w:pPr>
      <w:r w:rsidRPr="00A17D9B">
        <w:rPr>
          <w:rFonts w:ascii="Garamond" w:eastAsia="Garamond" w:hAnsi="Garamond" w:cs="Garamond"/>
          <w:noProof/>
          <w:sz w:val="24"/>
          <w:szCs w:val="24"/>
          <w:lang w:val="en-GB"/>
        </w:rPr>
        <w:t xml:space="preserve">The habitus of </w:t>
      </w:r>
      <w:r w:rsidRPr="00A17D9B">
        <w:rPr>
          <w:rFonts w:ascii="Garamond" w:eastAsia="Garamond" w:hAnsi="Garamond" w:cs="Garamond"/>
          <w:i/>
          <w:iCs/>
          <w:noProof/>
          <w:sz w:val="24"/>
          <w:szCs w:val="24"/>
          <w:lang w:val="en-GB"/>
        </w:rPr>
        <w:t>resilience and courage</w:t>
      </w:r>
      <w:r w:rsidRPr="00A17D9B">
        <w:rPr>
          <w:rFonts w:ascii="Garamond" w:eastAsia="Garamond" w:hAnsi="Garamond" w:cs="Garamond"/>
          <w:noProof/>
          <w:sz w:val="24"/>
          <w:szCs w:val="24"/>
          <w:lang w:val="en-GB"/>
        </w:rPr>
        <w:t xml:space="preserve"> framing the capability t</w:t>
      </w:r>
      <w:r w:rsidR="008740AF" w:rsidRPr="00A17D9B">
        <w:rPr>
          <w:rFonts w:ascii="Garamond" w:eastAsia="Garamond" w:hAnsi="Garamond" w:cs="Garamond"/>
          <w:noProof/>
          <w:sz w:val="24"/>
          <w:szCs w:val="24"/>
          <w:lang w:val="en-GB"/>
        </w:rPr>
        <w:t>o resist the tribulations of</w:t>
      </w:r>
      <w:r w:rsidRPr="00A17D9B">
        <w:rPr>
          <w:rFonts w:ascii="Garamond" w:eastAsia="Garamond" w:hAnsi="Garamond" w:cs="Garamond"/>
          <w:noProof/>
          <w:sz w:val="24"/>
          <w:szCs w:val="24"/>
          <w:lang w:val="en-GB"/>
        </w:rPr>
        <w:t xml:space="preserve"> time and fa</w:t>
      </w:r>
      <w:r w:rsidR="008740AF" w:rsidRPr="00A17D9B">
        <w:rPr>
          <w:rFonts w:ascii="Garamond" w:eastAsia="Garamond" w:hAnsi="Garamond" w:cs="Garamond"/>
          <w:noProof/>
          <w:sz w:val="24"/>
          <w:szCs w:val="24"/>
          <w:lang w:val="en-GB"/>
        </w:rPr>
        <w:t>ce the difficulties with resolution</w:t>
      </w:r>
      <w:r w:rsidRPr="00A17D9B">
        <w:rPr>
          <w:rFonts w:ascii="Garamond" w:eastAsia="Garamond" w:hAnsi="Garamond" w:cs="Garamond"/>
          <w:noProof/>
          <w:sz w:val="24"/>
          <w:szCs w:val="24"/>
          <w:lang w:val="en-GB"/>
        </w:rPr>
        <w:t xml:space="preserve"> and determination. </w:t>
      </w:r>
    </w:p>
    <w:p w14:paraId="3AFF14E0" w14:textId="51B0169C" w:rsidR="00BD5D02" w:rsidRPr="00A17D9B" w:rsidRDefault="00BD5D02" w:rsidP="00BD5D02">
      <w:pPr>
        <w:pStyle w:val="Prrafodelista"/>
        <w:numPr>
          <w:ilvl w:val="0"/>
          <w:numId w:val="5"/>
        </w:numPr>
        <w:spacing w:before="120" w:after="0" w:line="320" w:lineRule="atLeast"/>
        <w:jc w:val="both"/>
        <w:rPr>
          <w:noProof/>
          <w:sz w:val="24"/>
          <w:szCs w:val="24"/>
          <w:lang w:val="en-GB"/>
        </w:rPr>
      </w:pPr>
      <w:r w:rsidRPr="00A17D9B">
        <w:rPr>
          <w:rFonts w:ascii="Garamond" w:eastAsia="Garamond" w:hAnsi="Garamond" w:cs="Garamond"/>
          <w:noProof/>
          <w:sz w:val="24"/>
          <w:szCs w:val="24"/>
          <w:lang w:val="en-GB"/>
        </w:rPr>
        <w:t xml:space="preserve">The habitus of </w:t>
      </w:r>
      <w:r w:rsidRPr="00A17D9B">
        <w:rPr>
          <w:rFonts w:ascii="Garamond" w:eastAsia="Garamond" w:hAnsi="Garamond" w:cs="Garamond"/>
          <w:i/>
          <w:iCs/>
          <w:noProof/>
          <w:sz w:val="24"/>
          <w:szCs w:val="24"/>
          <w:lang w:val="en-GB"/>
        </w:rPr>
        <w:t xml:space="preserve">practical reasoning and wisdom </w:t>
      </w:r>
      <w:r w:rsidRPr="00A17D9B">
        <w:rPr>
          <w:rFonts w:ascii="Garamond" w:eastAsia="Garamond" w:hAnsi="Garamond" w:cs="Garamond"/>
          <w:noProof/>
          <w:sz w:val="24"/>
          <w:szCs w:val="24"/>
          <w:lang w:val="en-GB"/>
        </w:rPr>
        <w:t>framing the capability to engage reality through reason and seek to inhabit this reality as human being</w:t>
      </w:r>
      <w:r w:rsidR="008740AF" w:rsidRPr="00A17D9B">
        <w:rPr>
          <w:rFonts w:ascii="Garamond" w:eastAsia="Garamond" w:hAnsi="Garamond" w:cs="Garamond"/>
          <w:noProof/>
          <w:sz w:val="24"/>
          <w:szCs w:val="24"/>
          <w:lang w:val="en-GB"/>
        </w:rPr>
        <w:t>s</w:t>
      </w:r>
      <w:r w:rsidRPr="00A17D9B">
        <w:rPr>
          <w:rFonts w:ascii="Garamond" w:eastAsia="Garamond" w:hAnsi="Garamond" w:cs="Garamond"/>
          <w:noProof/>
          <w:sz w:val="24"/>
          <w:szCs w:val="24"/>
          <w:lang w:val="en-GB"/>
        </w:rPr>
        <w:t xml:space="preserve">. </w:t>
      </w:r>
    </w:p>
    <w:p w14:paraId="401D869E" w14:textId="4BAE4662" w:rsidR="00BD5D02" w:rsidRPr="00A17D9B" w:rsidRDefault="00BD5D02" w:rsidP="00BD5D02">
      <w:pPr>
        <w:spacing w:before="120" w:after="0" w:line="320" w:lineRule="atLeast"/>
        <w:rPr>
          <w:rFonts w:ascii="Garamond" w:hAnsi="Garamond"/>
          <w:noProof/>
          <w:sz w:val="24"/>
          <w:szCs w:val="24"/>
          <w:lang w:val="en-GB"/>
        </w:rPr>
      </w:pPr>
      <w:r w:rsidRPr="00A17D9B">
        <w:rPr>
          <w:rFonts w:ascii="Garamond" w:hAnsi="Garamond"/>
          <w:noProof/>
          <w:sz w:val="24"/>
          <w:szCs w:val="24"/>
          <w:lang w:val="en-GB"/>
        </w:rPr>
        <w:t>Together the two set</w:t>
      </w:r>
      <w:r w:rsidR="008740AF" w:rsidRPr="00A17D9B">
        <w:rPr>
          <w:rFonts w:ascii="Garamond" w:hAnsi="Garamond"/>
          <w:noProof/>
          <w:sz w:val="24"/>
          <w:szCs w:val="24"/>
          <w:lang w:val="en-GB"/>
        </w:rPr>
        <w:t>s</w:t>
      </w:r>
      <w:r w:rsidRPr="00A17D9B">
        <w:rPr>
          <w:rFonts w:ascii="Garamond" w:hAnsi="Garamond"/>
          <w:noProof/>
          <w:sz w:val="24"/>
          <w:szCs w:val="24"/>
          <w:lang w:val="en-GB"/>
        </w:rPr>
        <w:t xml:space="preserve"> of information – basic common goods and standard expectation </w:t>
      </w:r>
      <w:r w:rsidR="008740AF" w:rsidRPr="00A17D9B">
        <w:rPr>
          <w:rFonts w:ascii="Garamond" w:hAnsi="Garamond"/>
          <w:noProof/>
          <w:sz w:val="24"/>
          <w:szCs w:val="24"/>
          <w:lang w:val="en-GB"/>
        </w:rPr>
        <w:t>of behaviour – will inform us of</w:t>
      </w:r>
      <w:r w:rsidRPr="00A17D9B">
        <w:rPr>
          <w:rFonts w:ascii="Garamond" w:hAnsi="Garamond"/>
          <w:noProof/>
          <w:sz w:val="24"/>
          <w:szCs w:val="24"/>
          <w:lang w:val="en-GB"/>
        </w:rPr>
        <w:t xml:space="preserve"> the humanity achieved by a given nexus.</w:t>
      </w:r>
    </w:p>
    <w:p w14:paraId="45490367" w14:textId="77777777" w:rsidR="00BD5D02" w:rsidRPr="00A17D9B" w:rsidRDefault="00BD5D02" w:rsidP="003A0863">
      <w:pPr>
        <w:pStyle w:val="Subttulo"/>
        <w:rPr>
          <w:noProof/>
          <w:sz w:val="24"/>
          <w:szCs w:val="24"/>
          <w:lang w:val="en-GB"/>
        </w:rPr>
      </w:pPr>
    </w:p>
    <w:p w14:paraId="40CBF034" w14:textId="1F69D5C2" w:rsidR="003A0863" w:rsidRPr="00A17D9B" w:rsidRDefault="002F438E" w:rsidP="007623CF">
      <w:pPr>
        <w:pStyle w:val="Subttulo"/>
        <w:jc w:val="right"/>
        <w:rPr>
          <w:noProof/>
          <w:lang w:val="en-GB"/>
        </w:rPr>
      </w:pPr>
      <w:r w:rsidRPr="00A17D9B">
        <w:rPr>
          <w:noProof/>
          <w:lang w:val="en-GB"/>
        </w:rPr>
        <w:t xml:space="preserve">A </w:t>
      </w:r>
      <w:r w:rsidR="008740AF" w:rsidRPr="00A17D9B">
        <w:rPr>
          <w:noProof/>
          <w:lang w:val="en-GB"/>
        </w:rPr>
        <w:t>Relational Approach: Correlation of the Five D</w:t>
      </w:r>
      <w:r w:rsidR="003A0863" w:rsidRPr="00A17D9B">
        <w:rPr>
          <w:noProof/>
          <w:lang w:val="en-GB"/>
        </w:rPr>
        <w:t>imensions</w:t>
      </w:r>
    </w:p>
    <w:p w14:paraId="47A26683" w14:textId="4C92A053" w:rsidR="00AD412E" w:rsidRPr="00A17D9B" w:rsidRDefault="00864C06" w:rsidP="00864C06">
      <w:pPr>
        <w:spacing w:before="120" w:after="0" w:line="320" w:lineRule="atLeast"/>
        <w:jc w:val="both"/>
        <w:rPr>
          <w:rFonts w:ascii="Garamond" w:eastAsia="Garamond" w:hAnsi="Garamond" w:cs="Garamond"/>
          <w:noProof/>
          <w:color w:val="000000" w:themeColor="text1"/>
          <w:sz w:val="24"/>
          <w:szCs w:val="24"/>
          <w:lang w:val="en-GB"/>
        </w:rPr>
      </w:pPr>
      <w:r w:rsidRPr="00A17D9B">
        <w:rPr>
          <w:rFonts w:ascii="Garamond" w:eastAsia="Garamond" w:hAnsi="Garamond" w:cs="Garamond"/>
          <w:noProof/>
          <w:color w:val="000000" w:themeColor="text1"/>
          <w:sz w:val="24"/>
          <w:szCs w:val="24"/>
          <w:lang w:val="en-GB"/>
        </w:rPr>
        <w:t xml:space="preserve">As Zamagni points out, </w:t>
      </w:r>
      <w:r w:rsidR="00AD412E" w:rsidRPr="00A17D9B">
        <w:rPr>
          <w:rFonts w:ascii="Garamond" w:eastAsia="Garamond" w:hAnsi="Garamond" w:cs="Garamond"/>
          <w:noProof/>
          <w:color w:val="000000" w:themeColor="text1"/>
          <w:sz w:val="24"/>
          <w:szCs w:val="24"/>
          <w:lang w:val="en-GB"/>
        </w:rPr>
        <w:t xml:space="preserve">the logic of the </w:t>
      </w:r>
      <w:r w:rsidRPr="00A17D9B">
        <w:rPr>
          <w:rFonts w:ascii="Garamond" w:eastAsia="Garamond" w:hAnsi="Garamond" w:cs="Garamond"/>
          <w:noProof/>
          <w:color w:val="000000" w:themeColor="text1"/>
          <w:sz w:val="24"/>
          <w:szCs w:val="24"/>
          <w:lang w:val="en-GB"/>
        </w:rPr>
        <w:t xml:space="preserve">common good </w:t>
      </w:r>
      <w:r w:rsidR="00AD412E" w:rsidRPr="00A17D9B">
        <w:rPr>
          <w:rFonts w:ascii="Garamond" w:eastAsia="Garamond" w:hAnsi="Garamond" w:cs="Garamond"/>
          <w:noProof/>
          <w:color w:val="000000" w:themeColor="text1"/>
          <w:sz w:val="24"/>
          <w:szCs w:val="24"/>
          <w:lang w:val="en-GB"/>
        </w:rPr>
        <w:t xml:space="preserve">is not that of a sum where </w:t>
      </w:r>
      <w:r w:rsidR="007B6724" w:rsidRPr="00A17D9B">
        <w:rPr>
          <w:rFonts w:ascii="Garamond" w:eastAsia="Garamond" w:hAnsi="Garamond" w:cs="Garamond"/>
          <w:noProof/>
          <w:color w:val="000000" w:themeColor="text1"/>
          <w:sz w:val="24"/>
          <w:szCs w:val="24"/>
          <w:lang w:val="en-GB"/>
        </w:rPr>
        <w:t xml:space="preserve">each </w:t>
      </w:r>
      <w:r w:rsidR="006D64F6" w:rsidRPr="00A17D9B">
        <w:rPr>
          <w:rFonts w:ascii="Garamond" w:eastAsia="Garamond" w:hAnsi="Garamond" w:cs="Garamond"/>
          <w:noProof/>
          <w:color w:val="000000" w:themeColor="text1"/>
          <w:sz w:val="24"/>
          <w:szCs w:val="24"/>
          <w:lang w:val="en-GB"/>
        </w:rPr>
        <w:t xml:space="preserve">variable </w:t>
      </w:r>
      <w:r w:rsidR="00AD412E" w:rsidRPr="00A17D9B">
        <w:rPr>
          <w:rFonts w:ascii="Garamond" w:eastAsia="Garamond" w:hAnsi="Garamond" w:cs="Garamond"/>
          <w:noProof/>
          <w:color w:val="000000" w:themeColor="text1"/>
          <w:sz w:val="24"/>
          <w:szCs w:val="24"/>
          <w:lang w:val="en-GB"/>
        </w:rPr>
        <w:t xml:space="preserve">adds up to the total </w:t>
      </w:r>
      <w:r w:rsidR="007B6724" w:rsidRPr="00A17D9B">
        <w:rPr>
          <w:rFonts w:ascii="Garamond" w:eastAsia="Garamond" w:hAnsi="Garamond" w:cs="Garamond"/>
          <w:noProof/>
          <w:color w:val="000000" w:themeColor="text1"/>
          <w:sz w:val="24"/>
          <w:szCs w:val="24"/>
          <w:lang w:val="en-GB"/>
        </w:rPr>
        <w:t xml:space="preserve">but is altogether </w:t>
      </w:r>
      <w:r w:rsidR="00AD412E" w:rsidRPr="00A17D9B">
        <w:rPr>
          <w:rFonts w:ascii="Garamond" w:eastAsia="Garamond" w:hAnsi="Garamond" w:cs="Garamond"/>
          <w:noProof/>
          <w:color w:val="000000" w:themeColor="text1"/>
          <w:sz w:val="24"/>
          <w:szCs w:val="24"/>
          <w:lang w:val="en-GB"/>
        </w:rPr>
        <w:t>independent</w:t>
      </w:r>
      <w:r w:rsidR="00C57577" w:rsidRPr="00A17D9B">
        <w:rPr>
          <w:rFonts w:ascii="Garamond" w:eastAsia="Garamond" w:hAnsi="Garamond" w:cs="Garamond"/>
          <w:noProof/>
          <w:color w:val="000000" w:themeColor="text1"/>
          <w:sz w:val="24"/>
          <w:szCs w:val="24"/>
          <w:lang w:val="en-GB"/>
        </w:rPr>
        <w:t xml:space="preserve"> (Zamagni, 2018)</w:t>
      </w:r>
      <w:r w:rsidR="00AD412E" w:rsidRPr="00A17D9B">
        <w:rPr>
          <w:rFonts w:ascii="Garamond" w:eastAsia="Garamond" w:hAnsi="Garamond" w:cs="Garamond"/>
          <w:noProof/>
          <w:color w:val="000000" w:themeColor="text1"/>
          <w:sz w:val="24"/>
          <w:szCs w:val="24"/>
          <w:lang w:val="en-GB"/>
        </w:rPr>
        <w:t>. This aggregation logic allows for one variable to be zero without affecting the score of</w:t>
      </w:r>
      <w:r w:rsidR="008740AF" w:rsidRPr="00A17D9B">
        <w:rPr>
          <w:rFonts w:ascii="Garamond" w:eastAsia="Garamond" w:hAnsi="Garamond" w:cs="Garamond"/>
          <w:noProof/>
          <w:color w:val="000000" w:themeColor="text1"/>
          <w:sz w:val="24"/>
          <w:szCs w:val="24"/>
          <w:lang w:val="en-GB"/>
        </w:rPr>
        <w:t xml:space="preserve"> the</w:t>
      </w:r>
      <w:r w:rsidR="00AD412E" w:rsidRPr="00A17D9B">
        <w:rPr>
          <w:rFonts w:ascii="Garamond" w:eastAsia="Garamond" w:hAnsi="Garamond" w:cs="Garamond"/>
          <w:noProof/>
          <w:color w:val="000000" w:themeColor="text1"/>
          <w:sz w:val="24"/>
          <w:szCs w:val="24"/>
          <w:lang w:val="en-GB"/>
        </w:rPr>
        <w:t xml:space="preserve"> other variable. The logic of the </w:t>
      </w:r>
      <w:r w:rsidR="00AD412E" w:rsidRPr="00A17D9B">
        <w:rPr>
          <w:rFonts w:ascii="Garamond" w:eastAsia="Garamond" w:hAnsi="Garamond" w:cs="Garamond"/>
          <w:noProof/>
          <w:color w:val="000000" w:themeColor="text1"/>
          <w:sz w:val="24"/>
          <w:szCs w:val="24"/>
          <w:lang w:val="en-GB"/>
        </w:rPr>
        <w:lastRenderedPageBreak/>
        <w:t xml:space="preserve">common good is rather that </w:t>
      </w:r>
      <w:r w:rsidR="006D64F6" w:rsidRPr="00A17D9B">
        <w:rPr>
          <w:rFonts w:ascii="Garamond" w:eastAsia="Garamond" w:hAnsi="Garamond" w:cs="Garamond"/>
          <w:noProof/>
          <w:color w:val="000000" w:themeColor="text1"/>
          <w:sz w:val="24"/>
          <w:szCs w:val="24"/>
          <w:lang w:val="en-GB"/>
        </w:rPr>
        <w:t>of a multiplication</w:t>
      </w:r>
      <w:r w:rsidR="00AD412E" w:rsidRPr="00A17D9B">
        <w:rPr>
          <w:rFonts w:ascii="Garamond" w:eastAsia="Garamond" w:hAnsi="Garamond" w:cs="Garamond"/>
          <w:noProof/>
          <w:color w:val="000000" w:themeColor="text1"/>
          <w:sz w:val="24"/>
          <w:szCs w:val="24"/>
          <w:lang w:val="en-GB"/>
        </w:rPr>
        <w:t>, where the score of each variable directly affects the total product. If one of these is null, then whatever the other variable, the product is zero</w:t>
      </w:r>
      <w:r w:rsidR="006D64F6" w:rsidRPr="00A17D9B">
        <w:rPr>
          <w:rFonts w:ascii="Garamond" w:eastAsia="Garamond" w:hAnsi="Garamond" w:cs="Garamond"/>
          <w:noProof/>
          <w:color w:val="000000" w:themeColor="text1"/>
          <w:sz w:val="24"/>
          <w:szCs w:val="24"/>
          <w:lang w:val="en-GB"/>
        </w:rPr>
        <w:t>.</w:t>
      </w:r>
      <w:r w:rsidR="00AD412E" w:rsidRPr="00A17D9B">
        <w:rPr>
          <w:rFonts w:ascii="Garamond" w:eastAsia="Garamond" w:hAnsi="Garamond" w:cs="Garamond"/>
          <w:noProof/>
          <w:color w:val="000000" w:themeColor="text1"/>
          <w:sz w:val="24"/>
          <w:szCs w:val="24"/>
          <w:lang w:val="en-GB"/>
        </w:rPr>
        <w:t xml:space="preserve"> </w:t>
      </w:r>
    </w:p>
    <w:p w14:paraId="1B667FBE" w14:textId="52F130D7" w:rsidR="001D5F74" w:rsidRPr="00A17D9B" w:rsidRDefault="00AD412E" w:rsidP="00864C06">
      <w:pPr>
        <w:spacing w:before="120" w:after="0" w:line="320" w:lineRule="atLeast"/>
        <w:jc w:val="both"/>
        <w:rPr>
          <w:rFonts w:ascii="Garamond" w:eastAsia="Garamond" w:hAnsi="Garamond" w:cs="Garamond"/>
          <w:noProof/>
          <w:color w:val="000000" w:themeColor="text1"/>
          <w:sz w:val="24"/>
          <w:szCs w:val="24"/>
          <w:lang w:val="en-GB"/>
        </w:rPr>
      </w:pPr>
      <w:r w:rsidRPr="00A17D9B">
        <w:rPr>
          <w:rFonts w:ascii="Garamond" w:eastAsia="Garamond" w:hAnsi="Garamond" w:cs="Garamond"/>
          <w:noProof/>
          <w:color w:val="000000" w:themeColor="text1"/>
          <w:sz w:val="24"/>
          <w:szCs w:val="24"/>
          <w:lang w:val="en-GB"/>
        </w:rPr>
        <w:t xml:space="preserve">Thus, </w:t>
      </w:r>
      <w:r w:rsidR="00864C06" w:rsidRPr="00A17D9B">
        <w:rPr>
          <w:rFonts w:ascii="Garamond" w:eastAsia="Garamond" w:hAnsi="Garamond" w:cs="Garamond"/>
          <w:noProof/>
          <w:color w:val="000000" w:themeColor="text1"/>
          <w:sz w:val="24"/>
          <w:szCs w:val="24"/>
          <w:lang w:val="en-GB"/>
        </w:rPr>
        <w:t>the five normative drivers of common good dynamics are not to be considered independent elements. They are relational, by which we mean that the normativity of each one relates to that of all the others. In other words, ‘agency’ alone is not sufficient in itself. It must be concomitant with the requirements of justice, good governance and stability</w:t>
      </w:r>
      <w:r w:rsidR="00950A90" w:rsidRPr="00A17D9B">
        <w:rPr>
          <w:rFonts w:ascii="Garamond" w:eastAsia="Garamond" w:hAnsi="Garamond" w:cs="Garamond"/>
          <w:noProof/>
          <w:color w:val="000000" w:themeColor="text1"/>
          <w:sz w:val="24"/>
          <w:szCs w:val="24"/>
          <w:lang w:val="en-GB"/>
        </w:rPr>
        <w:t xml:space="preserve"> to help produce common good dynamics and hence </w:t>
      </w:r>
      <w:r w:rsidR="001D5F74" w:rsidRPr="00A17D9B">
        <w:rPr>
          <w:rFonts w:ascii="Garamond" w:eastAsia="Garamond" w:hAnsi="Garamond" w:cs="Garamond"/>
          <w:noProof/>
          <w:color w:val="000000" w:themeColor="text1"/>
          <w:sz w:val="24"/>
          <w:szCs w:val="24"/>
          <w:lang w:val="en-GB"/>
        </w:rPr>
        <w:t>a truly human coexistence in the nexus</w:t>
      </w:r>
      <w:r w:rsidR="00864C06" w:rsidRPr="00A17D9B">
        <w:rPr>
          <w:rFonts w:ascii="Garamond" w:eastAsia="Garamond" w:hAnsi="Garamond" w:cs="Garamond"/>
          <w:noProof/>
          <w:color w:val="000000" w:themeColor="text1"/>
          <w:sz w:val="24"/>
          <w:szCs w:val="24"/>
          <w:lang w:val="en-GB"/>
        </w:rPr>
        <w:t>. Exactly as ‘justice’ won’t generate common good dynamics if it does not foster</w:t>
      </w:r>
      <w:r w:rsidR="000C30D3" w:rsidRPr="00A17D9B">
        <w:rPr>
          <w:rFonts w:ascii="Garamond" w:eastAsia="Garamond" w:hAnsi="Garamond" w:cs="Garamond"/>
          <w:noProof/>
          <w:color w:val="000000" w:themeColor="text1"/>
          <w:sz w:val="24"/>
          <w:szCs w:val="24"/>
          <w:lang w:val="en-GB"/>
        </w:rPr>
        <w:t>,</w:t>
      </w:r>
      <w:r w:rsidR="00864C06" w:rsidRPr="00A17D9B">
        <w:rPr>
          <w:rFonts w:ascii="Garamond" w:eastAsia="Garamond" w:hAnsi="Garamond" w:cs="Garamond"/>
          <w:noProof/>
          <w:color w:val="000000" w:themeColor="text1"/>
          <w:sz w:val="24"/>
          <w:szCs w:val="24"/>
          <w:lang w:val="en-GB"/>
        </w:rPr>
        <w:t xml:space="preserve"> </w:t>
      </w:r>
      <w:r w:rsidR="00864C06" w:rsidRPr="00A17D9B">
        <w:rPr>
          <w:rFonts w:ascii="Garamond" w:eastAsia="Garamond" w:hAnsi="Garamond" w:cs="Garamond"/>
          <w:i/>
          <w:iCs/>
          <w:noProof/>
          <w:color w:val="000000" w:themeColor="text1"/>
          <w:sz w:val="24"/>
          <w:szCs w:val="24"/>
          <w:lang w:val="en-GB"/>
        </w:rPr>
        <w:t>at the same time</w:t>
      </w:r>
      <w:r w:rsidR="008740AF" w:rsidRPr="00A17D9B">
        <w:rPr>
          <w:rFonts w:ascii="Garamond" w:eastAsia="Garamond" w:hAnsi="Garamond" w:cs="Garamond"/>
          <w:i/>
          <w:iCs/>
          <w:noProof/>
          <w:color w:val="000000" w:themeColor="text1"/>
          <w:sz w:val="24"/>
          <w:szCs w:val="24"/>
          <w:lang w:val="en-GB"/>
        </w:rPr>
        <w:t>,</w:t>
      </w:r>
      <w:r w:rsidR="00864C06" w:rsidRPr="00A17D9B">
        <w:rPr>
          <w:rFonts w:ascii="Garamond" w:eastAsia="Garamond" w:hAnsi="Garamond" w:cs="Garamond"/>
          <w:noProof/>
          <w:color w:val="000000" w:themeColor="text1"/>
          <w:sz w:val="24"/>
          <w:szCs w:val="24"/>
          <w:lang w:val="en-GB"/>
        </w:rPr>
        <w:t xml:space="preserve"> agency, stability and governance. </w:t>
      </w:r>
    </w:p>
    <w:p w14:paraId="3BFC1F99" w14:textId="22416599" w:rsidR="00864C06" w:rsidRPr="00A17D9B" w:rsidRDefault="00C57577" w:rsidP="00864C06">
      <w:pPr>
        <w:spacing w:before="120" w:after="0" w:line="320" w:lineRule="atLeast"/>
        <w:jc w:val="both"/>
        <w:rPr>
          <w:rFonts w:ascii="Garamond" w:eastAsia="Garamond" w:hAnsi="Garamond" w:cs="Garamond"/>
          <w:noProof/>
          <w:color w:val="000000" w:themeColor="text1"/>
          <w:sz w:val="24"/>
          <w:szCs w:val="24"/>
          <w:lang w:val="en-GB"/>
        </w:rPr>
      </w:pPr>
      <w:r w:rsidRPr="00A17D9B">
        <w:rPr>
          <w:rFonts w:ascii="Garamond" w:eastAsia="Garamond" w:hAnsi="Garamond" w:cs="Garamond"/>
          <w:noProof/>
          <w:color w:val="000000" w:themeColor="text1"/>
          <w:sz w:val="24"/>
          <w:szCs w:val="24"/>
          <w:lang w:val="en-GB"/>
        </w:rPr>
        <w:t xml:space="preserve">An analogy </w:t>
      </w:r>
      <w:r w:rsidR="00864C06" w:rsidRPr="00A17D9B">
        <w:rPr>
          <w:rFonts w:ascii="Garamond" w:eastAsia="Garamond" w:hAnsi="Garamond" w:cs="Garamond"/>
          <w:noProof/>
          <w:color w:val="000000" w:themeColor="text1"/>
          <w:sz w:val="24"/>
          <w:szCs w:val="24"/>
          <w:lang w:val="en-GB"/>
        </w:rPr>
        <w:t xml:space="preserve">may help </w:t>
      </w:r>
      <w:r w:rsidRPr="00A17D9B">
        <w:rPr>
          <w:rFonts w:ascii="Garamond" w:eastAsia="Garamond" w:hAnsi="Garamond" w:cs="Garamond"/>
          <w:noProof/>
          <w:color w:val="000000" w:themeColor="text1"/>
          <w:sz w:val="24"/>
          <w:szCs w:val="24"/>
          <w:lang w:val="en-GB"/>
        </w:rPr>
        <w:t xml:space="preserve">us </w:t>
      </w:r>
      <w:r w:rsidR="00864C06" w:rsidRPr="00A17D9B">
        <w:rPr>
          <w:rFonts w:ascii="Garamond" w:eastAsia="Garamond" w:hAnsi="Garamond" w:cs="Garamond"/>
          <w:noProof/>
          <w:color w:val="000000" w:themeColor="text1"/>
          <w:sz w:val="24"/>
          <w:szCs w:val="24"/>
          <w:lang w:val="en-GB"/>
        </w:rPr>
        <w:t xml:space="preserve">understand this </w:t>
      </w:r>
      <w:r w:rsidRPr="00A17D9B">
        <w:rPr>
          <w:rFonts w:ascii="Garamond" w:eastAsia="Garamond" w:hAnsi="Garamond" w:cs="Garamond"/>
          <w:noProof/>
          <w:color w:val="000000" w:themeColor="text1"/>
          <w:sz w:val="24"/>
          <w:szCs w:val="24"/>
          <w:lang w:val="en-GB"/>
        </w:rPr>
        <w:t xml:space="preserve">important </w:t>
      </w:r>
      <w:r w:rsidR="00864C06" w:rsidRPr="00A17D9B">
        <w:rPr>
          <w:rFonts w:ascii="Garamond" w:eastAsia="Garamond" w:hAnsi="Garamond" w:cs="Garamond"/>
          <w:noProof/>
          <w:color w:val="000000" w:themeColor="text1"/>
          <w:sz w:val="24"/>
          <w:szCs w:val="24"/>
          <w:lang w:val="en-GB"/>
        </w:rPr>
        <w:t xml:space="preserve">point. Let’s imagine that a nexus is like a big ship. </w:t>
      </w:r>
      <w:r w:rsidRPr="00A17D9B">
        <w:rPr>
          <w:rFonts w:ascii="Garamond" w:eastAsia="Garamond" w:hAnsi="Garamond" w:cs="Garamond"/>
          <w:noProof/>
          <w:color w:val="000000" w:themeColor="text1"/>
          <w:sz w:val="24"/>
          <w:szCs w:val="24"/>
          <w:lang w:val="en-GB"/>
        </w:rPr>
        <w:t xml:space="preserve">Then the </w:t>
      </w:r>
      <w:r w:rsidR="00864C06" w:rsidRPr="00A17D9B">
        <w:rPr>
          <w:rFonts w:ascii="Garamond" w:eastAsia="Garamond" w:hAnsi="Garamond" w:cs="Garamond"/>
          <w:noProof/>
          <w:color w:val="000000" w:themeColor="text1"/>
          <w:sz w:val="24"/>
          <w:szCs w:val="24"/>
          <w:lang w:val="en-GB"/>
        </w:rPr>
        <w:t xml:space="preserve">rear engine </w:t>
      </w:r>
      <w:r w:rsidRPr="00A17D9B">
        <w:rPr>
          <w:rFonts w:ascii="Garamond" w:eastAsia="Garamond" w:hAnsi="Garamond" w:cs="Garamond"/>
          <w:noProof/>
          <w:color w:val="000000" w:themeColor="text1"/>
          <w:sz w:val="24"/>
          <w:szCs w:val="24"/>
          <w:lang w:val="en-GB"/>
        </w:rPr>
        <w:t xml:space="preserve">would be collective </w:t>
      </w:r>
      <w:r w:rsidR="00864C06" w:rsidRPr="00A17D9B">
        <w:rPr>
          <w:rFonts w:ascii="Garamond" w:eastAsia="Garamond" w:hAnsi="Garamond" w:cs="Garamond"/>
          <w:noProof/>
          <w:color w:val="000000" w:themeColor="text1"/>
          <w:sz w:val="24"/>
          <w:szCs w:val="24"/>
          <w:lang w:val="en-GB"/>
        </w:rPr>
        <w:t>agency</w:t>
      </w:r>
      <w:r w:rsidRPr="00A17D9B">
        <w:rPr>
          <w:rFonts w:ascii="Garamond" w:eastAsia="Garamond" w:hAnsi="Garamond" w:cs="Garamond"/>
          <w:noProof/>
          <w:color w:val="000000" w:themeColor="text1"/>
          <w:sz w:val="24"/>
          <w:szCs w:val="24"/>
          <w:lang w:val="en-GB"/>
        </w:rPr>
        <w:t xml:space="preserve"> freedom</w:t>
      </w:r>
      <w:r w:rsidR="00864C06" w:rsidRPr="00A17D9B">
        <w:rPr>
          <w:rFonts w:ascii="Garamond" w:eastAsia="Garamond" w:hAnsi="Garamond" w:cs="Garamond"/>
          <w:noProof/>
          <w:color w:val="000000" w:themeColor="text1"/>
          <w:sz w:val="24"/>
          <w:szCs w:val="24"/>
          <w:lang w:val="en-GB"/>
        </w:rPr>
        <w:t xml:space="preserve">, while several smaller mobile engines situated at the front (governance) and the </w:t>
      </w:r>
      <w:r w:rsidR="001D5F74" w:rsidRPr="00A17D9B">
        <w:rPr>
          <w:rFonts w:ascii="Garamond" w:eastAsia="Garamond" w:hAnsi="Garamond" w:cs="Garamond"/>
          <w:noProof/>
          <w:color w:val="000000" w:themeColor="text1"/>
          <w:sz w:val="24"/>
          <w:szCs w:val="24"/>
          <w:lang w:val="en-GB"/>
        </w:rPr>
        <w:t xml:space="preserve">two </w:t>
      </w:r>
      <w:r w:rsidR="00864C06" w:rsidRPr="00A17D9B">
        <w:rPr>
          <w:rFonts w:ascii="Garamond" w:eastAsia="Garamond" w:hAnsi="Garamond" w:cs="Garamond"/>
          <w:noProof/>
          <w:color w:val="000000" w:themeColor="text1"/>
          <w:sz w:val="24"/>
          <w:szCs w:val="24"/>
          <w:lang w:val="en-GB"/>
        </w:rPr>
        <w:t xml:space="preserve">sides (stability and justice) </w:t>
      </w:r>
      <w:r w:rsidR="001D5F74" w:rsidRPr="00A17D9B">
        <w:rPr>
          <w:rFonts w:ascii="Garamond" w:eastAsia="Garamond" w:hAnsi="Garamond" w:cs="Garamond"/>
          <w:noProof/>
          <w:color w:val="000000" w:themeColor="text1"/>
          <w:sz w:val="24"/>
          <w:szCs w:val="24"/>
          <w:lang w:val="en-GB"/>
        </w:rPr>
        <w:t xml:space="preserve">help </w:t>
      </w:r>
      <w:r w:rsidR="00864C06" w:rsidRPr="00A17D9B">
        <w:rPr>
          <w:rFonts w:ascii="Garamond" w:eastAsia="Garamond" w:hAnsi="Garamond" w:cs="Garamond"/>
          <w:noProof/>
          <w:color w:val="000000" w:themeColor="text1"/>
          <w:sz w:val="24"/>
          <w:szCs w:val="24"/>
          <w:lang w:val="en-GB"/>
        </w:rPr>
        <w:t>steer the ship. All engines must point toward the same direction (</w:t>
      </w:r>
      <w:r w:rsidR="001D5F74" w:rsidRPr="00A17D9B">
        <w:rPr>
          <w:rFonts w:ascii="Garamond" w:eastAsia="Garamond" w:hAnsi="Garamond" w:cs="Garamond"/>
          <w:noProof/>
          <w:color w:val="000000" w:themeColor="text1"/>
          <w:sz w:val="24"/>
          <w:szCs w:val="24"/>
          <w:lang w:val="en-GB"/>
        </w:rPr>
        <w:t>h</w:t>
      </w:r>
      <w:r w:rsidR="00864C06" w:rsidRPr="00A17D9B">
        <w:rPr>
          <w:rFonts w:ascii="Garamond" w:eastAsia="Garamond" w:hAnsi="Garamond" w:cs="Garamond"/>
          <w:noProof/>
          <w:color w:val="000000" w:themeColor="text1"/>
          <w:sz w:val="24"/>
          <w:szCs w:val="24"/>
          <w:lang w:val="en-GB"/>
        </w:rPr>
        <w:t xml:space="preserve">umanity) in order for the ship to advance along a straight line. If one of the engines doesn’t function well or is not </w:t>
      </w:r>
      <w:r w:rsidR="000C30D3" w:rsidRPr="00A17D9B">
        <w:rPr>
          <w:rFonts w:ascii="Garamond" w:eastAsia="Garamond" w:hAnsi="Garamond" w:cs="Garamond"/>
          <w:noProof/>
          <w:color w:val="000000" w:themeColor="text1"/>
          <w:sz w:val="24"/>
          <w:szCs w:val="24"/>
          <w:lang w:val="en-GB"/>
        </w:rPr>
        <w:t>coordinated with</w:t>
      </w:r>
      <w:r w:rsidRPr="00A17D9B">
        <w:rPr>
          <w:rFonts w:ascii="Garamond" w:eastAsia="Garamond" w:hAnsi="Garamond" w:cs="Garamond"/>
          <w:noProof/>
          <w:color w:val="000000" w:themeColor="text1"/>
          <w:sz w:val="24"/>
          <w:szCs w:val="24"/>
          <w:lang w:val="en-GB"/>
        </w:rPr>
        <w:t xml:space="preserve"> </w:t>
      </w:r>
      <w:r w:rsidR="00864C06" w:rsidRPr="00A17D9B">
        <w:rPr>
          <w:rFonts w:ascii="Garamond" w:eastAsia="Garamond" w:hAnsi="Garamond" w:cs="Garamond"/>
          <w:noProof/>
          <w:color w:val="000000" w:themeColor="text1"/>
          <w:sz w:val="24"/>
          <w:szCs w:val="24"/>
          <w:lang w:val="en-GB"/>
        </w:rPr>
        <w:t xml:space="preserve">the others, the whole ship will slowly lose its heading. Worse still, if none of the engines work together then the ship’s movement will become chaotic, either going in circles or stalling altogether. The coherence of the engines and the ship’s </w:t>
      </w:r>
      <w:r w:rsidR="00E93EFA" w:rsidRPr="00A17D9B">
        <w:rPr>
          <w:rFonts w:ascii="Garamond" w:eastAsia="Garamond" w:hAnsi="Garamond" w:cs="Garamond"/>
          <w:noProof/>
          <w:color w:val="000000" w:themeColor="text1"/>
          <w:sz w:val="24"/>
          <w:szCs w:val="24"/>
          <w:lang w:val="en-GB"/>
        </w:rPr>
        <w:t xml:space="preserve">direction </w:t>
      </w:r>
      <w:r w:rsidR="00864C06" w:rsidRPr="00A17D9B">
        <w:rPr>
          <w:rFonts w:ascii="Garamond" w:eastAsia="Garamond" w:hAnsi="Garamond" w:cs="Garamond"/>
          <w:noProof/>
          <w:color w:val="000000" w:themeColor="text1"/>
          <w:sz w:val="24"/>
          <w:szCs w:val="24"/>
          <w:lang w:val="en-GB"/>
        </w:rPr>
        <w:t>toward</w:t>
      </w:r>
      <w:r w:rsidR="000C30D3" w:rsidRPr="00A17D9B">
        <w:rPr>
          <w:rFonts w:ascii="Garamond" w:eastAsia="Garamond" w:hAnsi="Garamond" w:cs="Garamond"/>
          <w:noProof/>
          <w:color w:val="000000" w:themeColor="text1"/>
          <w:sz w:val="24"/>
          <w:szCs w:val="24"/>
          <w:lang w:val="en-GB"/>
        </w:rPr>
        <w:t>s</w:t>
      </w:r>
      <w:r w:rsidR="00864C06" w:rsidRPr="00A17D9B">
        <w:rPr>
          <w:rFonts w:ascii="Garamond" w:eastAsia="Garamond" w:hAnsi="Garamond" w:cs="Garamond"/>
          <w:noProof/>
          <w:color w:val="000000" w:themeColor="text1"/>
          <w:sz w:val="24"/>
          <w:szCs w:val="24"/>
          <w:lang w:val="en-GB"/>
        </w:rPr>
        <w:t xml:space="preserve"> more humanity is the information </w:t>
      </w:r>
      <w:r w:rsidR="001D5F74" w:rsidRPr="00A17D9B">
        <w:rPr>
          <w:rFonts w:ascii="Garamond" w:eastAsia="Garamond" w:hAnsi="Garamond" w:cs="Garamond"/>
          <w:noProof/>
          <w:color w:val="000000" w:themeColor="text1"/>
          <w:sz w:val="24"/>
          <w:szCs w:val="24"/>
          <w:lang w:val="en-GB"/>
        </w:rPr>
        <w:t xml:space="preserve">that </w:t>
      </w:r>
      <w:r w:rsidR="00864C06" w:rsidRPr="00A17D9B">
        <w:rPr>
          <w:rFonts w:ascii="Garamond" w:eastAsia="Garamond" w:hAnsi="Garamond" w:cs="Garamond"/>
          <w:noProof/>
          <w:color w:val="000000" w:themeColor="text1"/>
          <w:sz w:val="24"/>
          <w:szCs w:val="24"/>
          <w:lang w:val="en-GB"/>
        </w:rPr>
        <w:t>the matrix</w:t>
      </w:r>
      <w:r w:rsidR="001D5F74" w:rsidRPr="00A17D9B">
        <w:rPr>
          <w:rFonts w:ascii="Garamond" w:eastAsia="Garamond" w:hAnsi="Garamond" w:cs="Garamond"/>
          <w:noProof/>
          <w:color w:val="000000" w:themeColor="text1"/>
          <w:sz w:val="24"/>
          <w:szCs w:val="24"/>
          <w:lang w:val="en-GB"/>
        </w:rPr>
        <w:t xml:space="preserve"> provides</w:t>
      </w:r>
      <w:r w:rsidR="00864C06" w:rsidRPr="00A17D9B">
        <w:rPr>
          <w:rFonts w:ascii="Garamond" w:eastAsia="Garamond" w:hAnsi="Garamond" w:cs="Garamond"/>
          <w:noProof/>
          <w:color w:val="000000" w:themeColor="text1"/>
          <w:sz w:val="24"/>
          <w:szCs w:val="24"/>
          <w:lang w:val="en-GB"/>
        </w:rPr>
        <w:t>.</w:t>
      </w:r>
      <w:r w:rsidR="001D5F74" w:rsidRPr="00A17D9B">
        <w:rPr>
          <w:rFonts w:ascii="Garamond" w:eastAsia="Garamond" w:hAnsi="Garamond" w:cs="Garamond"/>
          <w:noProof/>
          <w:color w:val="000000" w:themeColor="text1"/>
          <w:sz w:val="24"/>
          <w:szCs w:val="24"/>
          <w:lang w:val="en-GB"/>
        </w:rPr>
        <w:t xml:space="preserve"> In </w:t>
      </w:r>
      <w:r w:rsidR="000C30D3" w:rsidRPr="00A17D9B">
        <w:rPr>
          <w:rFonts w:ascii="Garamond" w:eastAsia="Garamond" w:hAnsi="Garamond" w:cs="Garamond"/>
          <w:noProof/>
          <w:color w:val="000000" w:themeColor="text1"/>
          <w:sz w:val="24"/>
          <w:szCs w:val="24"/>
          <w:lang w:val="en-GB"/>
        </w:rPr>
        <w:t>other words, it informs us of</w:t>
      </w:r>
      <w:r w:rsidR="001D5F74" w:rsidRPr="00A17D9B">
        <w:rPr>
          <w:rFonts w:ascii="Garamond" w:eastAsia="Garamond" w:hAnsi="Garamond" w:cs="Garamond"/>
          <w:noProof/>
          <w:color w:val="000000" w:themeColor="text1"/>
          <w:sz w:val="24"/>
          <w:szCs w:val="24"/>
          <w:lang w:val="en-GB"/>
        </w:rPr>
        <w:t xml:space="preserve"> the </w:t>
      </w:r>
      <w:r w:rsidR="00E93EFA" w:rsidRPr="00A17D9B">
        <w:rPr>
          <w:rFonts w:ascii="Garamond" w:eastAsia="Garamond" w:hAnsi="Garamond" w:cs="Garamond"/>
          <w:noProof/>
          <w:color w:val="000000" w:themeColor="text1"/>
          <w:sz w:val="24"/>
          <w:szCs w:val="24"/>
          <w:lang w:val="en-GB"/>
        </w:rPr>
        <w:t xml:space="preserve">nexus’s </w:t>
      </w:r>
      <w:r w:rsidR="001D5F74" w:rsidRPr="00A17D9B">
        <w:rPr>
          <w:rFonts w:ascii="Garamond" w:eastAsia="Garamond" w:hAnsi="Garamond" w:cs="Garamond"/>
          <w:noProof/>
          <w:color w:val="000000" w:themeColor="text1"/>
          <w:sz w:val="24"/>
          <w:szCs w:val="24"/>
          <w:lang w:val="en-GB"/>
        </w:rPr>
        <w:t xml:space="preserve">coherence and </w:t>
      </w:r>
      <w:r w:rsidR="00E93EFA" w:rsidRPr="00A17D9B">
        <w:rPr>
          <w:rFonts w:ascii="Garamond" w:eastAsia="Garamond" w:hAnsi="Garamond" w:cs="Garamond"/>
          <w:noProof/>
          <w:color w:val="000000" w:themeColor="text1"/>
          <w:sz w:val="24"/>
          <w:szCs w:val="24"/>
          <w:lang w:val="en-GB"/>
        </w:rPr>
        <w:t>heading</w:t>
      </w:r>
      <w:r w:rsidR="001D5F74" w:rsidRPr="00A17D9B">
        <w:rPr>
          <w:rFonts w:ascii="Garamond" w:eastAsia="Garamond" w:hAnsi="Garamond" w:cs="Garamond"/>
          <w:noProof/>
          <w:color w:val="000000" w:themeColor="text1"/>
          <w:sz w:val="24"/>
          <w:szCs w:val="24"/>
          <w:lang w:val="en-GB"/>
        </w:rPr>
        <w:t xml:space="preserve">. </w:t>
      </w:r>
    </w:p>
    <w:p w14:paraId="6ACAC0A6" w14:textId="3FB429F2" w:rsidR="003A0863" w:rsidRPr="00A17D9B" w:rsidRDefault="000C30D3" w:rsidP="007623CF">
      <w:pPr>
        <w:pStyle w:val="Ttulo1"/>
        <w:jc w:val="right"/>
        <w:rPr>
          <w:noProof/>
          <w:lang w:val="en-GB"/>
        </w:rPr>
      </w:pPr>
      <w:r w:rsidRPr="00A17D9B">
        <w:rPr>
          <w:noProof/>
          <w:lang w:val="en-GB"/>
        </w:rPr>
        <w:t>Measuring Common Good Dynamics in Municipalities:The M</w:t>
      </w:r>
      <w:r w:rsidR="003A0863" w:rsidRPr="00A17D9B">
        <w:rPr>
          <w:noProof/>
          <w:lang w:val="en-GB"/>
        </w:rPr>
        <w:t>etric</w:t>
      </w:r>
    </w:p>
    <w:p w14:paraId="7F4D7E43" w14:textId="6CCC5A61" w:rsidR="003A0863" w:rsidRPr="00A17D9B" w:rsidRDefault="000C30D3" w:rsidP="007623CF">
      <w:pPr>
        <w:pStyle w:val="Subttulo"/>
        <w:jc w:val="right"/>
        <w:rPr>
          <w:noProof/>
          <w:lang w:val="en-GB"/>
        </w:rPr>
      </w:pPr>
      <w:r w:rsidRPr="00A17D9B">
        <w:rPr>
          <w:noProof/>
          <w:lang w:val="en-GB"/>
        </w:rPr>
        <w:t>Elaboration of the Q</w:t>
      </w:r>
      <w:r w:rsidR="003A0863" w:rsidRPr="00A17D9B">
        <w:rPr>
          <w:noProof/>
          <w:lang w:val="en-GB"/>
        </w:rPr>
        <w:t>uestionnaire</w:t>
      </w:r>
    </w:p>
    <w:p w14:paraId="52E1FA6E" w14:textId="33497FBA" w:rsidR="00CD347F" w:rsidRPr="00A17D9B" w:rsidRDefault="00E66E8A" w:rsidP="008C4002">
      <w:pPr>
        <w:spacing w:before="120" w:after="0" w:line="320" w:lineRule="atLeast"/>
        <w:jc w:val="both"/>
        <w:rPr>
          <w:rFonts w:ascii="Garamond" w:hAnsi="Garamond"/>
          <w:noProof/>
          <w:sz w:val="24"/>
          <w:szCs w:val="24"/>
          <w:lang w:val="en-GB"/>
        </w:rPr>
      </w:pPr>
      <w:r w:rsidRPr="00A17D9B">
        <w:rPr>
          <w:rFonts w:ascii="Garamond" w:hAnsi="Garamond"/>
          <w:noProof/>
          <w:sz w:val="24"/>
          <w:szCs w:val="24"/>
          <w:lang w:val="en-GB"/>
        </w:rPr>
        <w:t>On the ground of our matrix</w:t>
      </w:r>
      <w:r w:rsidR="00875E1A" w:rsidRPr="00A17D9B">
        <w:rPr>
          <w:rFonts w:ascii="Garamond" w:hAnsi="Garamond"/>
          <w:noProof/>
          <w:sz w:val="24"/>
          <w:szCs w:val="24"/>
          <w:lang w:val="en-GB"/>
        </w:rPr>
        <w:t>,</w:t>
      </w:r>
      <w:r w:rsidRPr="00A17D9B">
        <w:rPr>
          <w:rFonts w:ascii="Garamond" w:hAnsi="Garamond"/>
          <w:noProof/>
          <w:sz w:val="24"/>
          <w:szCs w:val="24"/>
          <w:lang w:val="en-GB"/>
        </w:rPr>
        <w:t xml:space="preserve"> we developed a metric to measure common good dynamics at</w:t>
      </w:r>
      <w:r w:rsidR="00875E1A" w:rsidRPr="00A17D9B">
        <w:rPr>
          <w:rFonts w:ascii="Garamond" w:hAnsi="Garamond"/>
          <w:noProof/>
          <w:sz w:val="24"/>
          <w:szCs w:val="24"/>
          <w:lang w:val="en-GB"/>
        </w:rPr>
        <w:t xml:space="preserve"> a</w:t>
      </w:r>
      <w:r w:rsidRPr="00A17D9B">
        <w:rPr>
          <w:rFonts w:ascii="Garamond" w:hAnsi="Garamond"/>
          <w:noProof/>
          <w:sz w:val="24"/>
          <w:szCs w:val="24"/>
          <w:lang w:val="en-GB"/>
        </w:rPr>
        <w:t xml:space="preserve"> local level</w:t>
      </w:r>
      <w:r w:rsidR="00983F4C" w:rsidRPr="00A17D9B">
        <w:rPr>
          <w:rFonts w:ascii="Garamond" w:hAnsi="Garamond"/>
          <w:noProof/>
          <w:sz w:val="24"/>
          <w:szCs w:val="24"/>
          <w:lang w:val="en-GB"/>
        </w:rPr>
        <w:t>, that is</w:t>
      </w:r>
      <w:r w:rsidR="00875E1A" w:rsidRPr="00A17D9B">
        <w:rPr>
          <w:rFonts w:ascii="Garamond" w:hAnsi="Garamond"/>
          <w:noProof/>
          <w:sz w:val="24"/>
          <w:szCs w:val="24"/>
          <w:lang w:val="en-GB"/>
        </w:rPr>
        <w:t>,</w:t>
      </w:r>
      <w:r w:rsidR="00983F4C" w:rsidRPr="00A17D9B">
        <w:rPr>
          <w:rFonts w:ascii="Garamond" w:hAnsi="Garamond"/>
          <w:noProof/>
          <w:sz w:val="24"/>
          <w:szCs w:val="24"/>
          <w:lang w:val="en-GB"/>
        </w:rPr>
        <w:t xml:space="preserve"> the strength and direction of social processes</w:t>
      </w:r>
      <w:r w:rsidR="00C57577" w:rsidRPr="00A17D9B">
        <w:rPr>
          <w:rFonts w:ascii="Garamond" w:hAnsi="Garamond"/>
          <w:noProof/>
          <w:sz w:val="24"/>
          <w:szCs w:val="24"/>
          <w:lang w:val="en-GB"/>
        </w:rPr>
        <w:t xml:space="preserve"> leading to a more human coexistence</w:t>
      </w:r>
      <w:r w:rsidR="00983F4C" w:rsidRPr="00A17D9B">
        <w:rPr>
          <w:rFonts w:ascii="Garamond" w:hAnsi="Garamond"/>
          <w:noProof/>
          <w:sz w:val="24"/>
          <w:szCs w:val="24"/>
          <w:lang w:val="en-GB"/>
        </w:rPr>
        <w:t>.</w:t>
      </w:r>
      <w:r w:rsidRPr="00A17D9B">
        <w:rPr>
          <w:rFonts w:ascii="Garamond" w:hAnsi="Garamond"/>
          <w:noProof/>
          <w:sz w:val="24"/>
          <w:szCs w:val="24"/>
          <w:lang w:val="en-GB"/>
        </w:rPr>
        <w:t xml:space="preserve"> The objective was to create </w:t>
      </w:r>
      <w:r w:rsidR="00983F4C" w:rsidRPr="00A17D9B">
        <w:rPr>
          <w:rFonts w:ascii="Garamond" w:hAnsi="Garamond"/>
          <w:noProof/>
          <w:sz w:val="24"/>
          <w:szCs w:val="24"/>
          <w:lang w:val="en-GB"/>
        </w:rPr>
        <w:t xml:space="preserve">a </w:t>
      </w:r>
      <w:r w:rsidRPr="00A17D9B">
        <w:rPr>
          <w:rFonts w:ascii="Garamond" w:hAnsi="Garamond"/>
          <w:noProof/>
          <w:sz w:val="24"/>
          <w:szCs w:val="24"/>
          <w:lang w:val="en-GB"/>
        </w:rPr>
        <w:t xml:space="preserve">metric that would identify key information, provide robust data and still be elegant and simple enough for the results to be </w:t>
      </w:r>
      <w:r w:rsidR="00C57577" w:rsidRPr="00A17D9B">
        <w:rPr>
          <w:rFonts w:ascii="Garamond" w:hAnsi="Garamond"/>
          <w:noProof/>
          <w:sz w:val="24"/>
          <w:szCs w:val="24"/>
          <w:lang w:val="en-GB"/>
        </w:rPr>
        <w:t>communicated</w:t>
      </w:r>
      <w:r w:rsidRPr="00A17D9B">
        <w:rPr>
          <w:rFonts w:ascii="Garamond" w:hAnsi="Garamond"/>
          <w:noProof/>
          <w:sz w:val="24"/>
          <w:szCs w:val="24"/>
          <w:lang w:val="en-GB"/>
        </w:rPr>
        <w:t xml:space="preserve"> easily. The same </w:t>
      </w:r>
      <w:r w:rsidR="00405B2D" w:rsidRPr="00A17D9B">
        <w:rPr>
          <w:rFonts w:ascii="Garamond" w:hAnsi="Garamond"/>
          <w:noProof/>
          <w:sz w:val="24"/>
          <w:szCs w:val="24"/>
          <w:lang w:val="en-GB"/>
        </w:rPr>
        <w:t xml:space="preserve">IPBC </w:t>
      </w:r>
      <w:r w:rsidRPr="00A17D9B">
        <w:rPr>
          <w:rFonts w:ascii="Garamond" w:hAnsi="Garamond"/>
          <w:noProof/>
          <w:sz w:val="24"/>
          <w:szCs w:val="24"/>
          <w:lang w:val="en-GB"/>
        </w:rPr>
        <w:t>research group that created the matrix overtook the redaction</w:t>
      </w:r>
      <w:r w:rsidR="00405B2D" w:rsidRPr="00A17D9B">
        <w:rPr>
          <w:rFonts w:ascii="Garamond" w:hAnsi="Garamond"/>
          <w:noProof/>
          <w:sz w:val="24"/>
          <w:szCs w:val="24"/>
          <w:lang w:val="en-GB"/>
        </w:rPr>
        <w:t xml:space="preserve"> of a questionnaire. A first d</w:t>
      </w:r>
      <w:r w:rsidR="00875E1A" w:rsidRPr="00A17D9B">
        <w:rPr>
          <w:rFonts w:ascii="Garamond" w:hAnsi="Garamond"/>
          <w:noProof/>
          <w:sz w:val="24"/>
          <w:szCs w:val="24"/>
          <w:lang w:val="en-GB"/>
        </w:rPr>
        <w:t>raft was created between October</w:t>
      </w:r>
      <w:r w:rsidR="00405B2D" w:rsidRPr="00A17D9B">
        <w:rPr>
          <w:rFonts w:ascii="Garamond" w:hAnsi="Garamond"/>
          <w:noProof/>
          <w:sz w:val="24"/>
          <w:szCs w:val="24"/>
          <w:lang w:val="en-GB"/>
        </w:rPr>
        <w:t xml:space="preserve"> 2018 and February 2019, being </w:t>
      </w:r>
      <w:r w:rsidR="001D5F74" w:rsidRPr="00A17D9B">
        <w:rPr>
          <w:rFonts w:ascii="Garamond" w:hAnsi="Garamond"/>
          <w:noProof/>
          <w:sz w:val="24"/>
          <w:szCs w:val="24"/>
          <w:lang w:val="en-GB"/>
        </w:rPr>
        <w:t>discussed point by point at almost weekly meetings over the same period.</w:t>
      </w:r>
      <w:r w:rsidR="00405B2D" w:rsidRPr="00A17D9B">
        <w:rPr>
          <w:rFonts w:ascii="Garamond" w:hAnsi="Garamond"/>
          <w:noProof/>
          <w:sz w:val="24"/>
          <w:szCs w:val="24"/>
          <w:lang w:val="en-GB"/>
        </w:rPr>
        <w:t xml:space="preserve"> This first version </w:t>
      </w:r>
      <w:r w:rsidR="00C57577" w:rsidRPr="00A17D9B">
        <w:rPr>
          <w:rFonts w:ascii="Garamond" w:hAnsi="Garamond"/>
          <w:noProof/>
          <w:sz w:val="24"/>
          <w:szCs w:val="24"/>
          <w:lang w:val="en-GB"/>
        </w:rPr>
        <w:t>got</w:t>
      </w:r>
      <w:r w:rsidR="00875E1A" w:rsidRPr="00A17D9B">
        <w:rPr>
          <w:rFonts w:ascii="Garamond" w:hAnsi="Garamond"/>
          <w:noProof/>
          <w:sz w:val="24"/>
          <w:szCs w:val="24"/>
          <w:lang w:val="en-GB"/>
        </w:rPr>
        <w:t xml:space="preserve"> tested by students </w:t>
      </w:r>
      <w:r w:rsidR="00405B2D" w:rsidRPr="00A17D9B">
        <w:rPr>
          <w:rFonts w:ascii="Garamond" w:hAnsi="Garamond"/>
          <w:noProof/>
          <w:sz w:val="24"/>
          <w:szCs w:val="24"/>
          <w:lang w:val="en-GB"/>
        </w:rPr>
        <w:t>themselves, their parents and extended family to verify the pertinence and</w:t>
      </w:r>
      <w:r w:rsidR="00C57577" w:rsidRPr="00A17D9B">
        <w:rPr>
          <w:rFonts w:ascii="Garamond" w:hAnsi="Garamond"/>
          <w:noProof/>
          <w:sz w:val="24"/>
          <w:szCs w:val="24"/>
          <w:lang w:val="en-GB"/>
        </w:rPr>
        <w:t xml:space="preserve"> the overall</w:t>
      </w:r>
      <w:r w:rsidR="00405B2D" w:rsidRPr="00A17D9B">
        <w:rPr>
          <w:rFonts w:ascii="Garamond" w:hAnsi="Garamond"/>
          <w:noProof/>
          <w:sz w:val="24"/>
          <w:szCs w:val="24"/>
          <w:lang w:val="en-GB"/>
        </w:rPr>
        <w:t xml:space="preserve"> coherence of the questions. We did also run cognitive interviewing to verify the socio-cultural understanding of each question. </w:t>
      </w:r>
      <w:r w:rsidR="008A393C" w:rsidRPr="00A17D9B">
        <w:rPr>
          <w:rFonts w:ascii="Garamond" w:hAnsi="Garamond"/>
          <w:noProof/>
          <w:sz w:val="24"/>
          <w:szCs w:val="24"/>
          <w:lang w:val="en-GB"/>
        </w:rPr>
        <w:t>The results were analyzed by the research team and a new version of the questionnaire</w:t>
      </w:r>
      <w:r w:rsidR="00875E1A" w:rsidRPr="00A17D9B">
        <w:rPr>
          <w:rFonts w:ascii="Garamond" w:hAnsi="Garamond"/>
          <w:noProof/>
          <w:sz w:val="24"/>
          <w:szCs w:val="24"/>
          <w:lang w:val="en-GB"/>
        </w:rPr>
        <w:t xml:space="preserve"> was</w:t>
      </w:r>
      <w:r w:rsidR="008A393C" w:rsidRPr="00A17D9B">
        <w:rPr>
          <w:rFonts w:ascii="Garamond" w:hAnsi="Garamond"/>
          <w:noProof/>
          <w:sz w:val="24"/>
          <w:szCs w:val="24"/>
          <w:lang w:val="en-GB"/>
        </w:rPr>
        <w:t xml:space="preserve"> issued. A fully-fledged pilot probe was then applied between June and July 2019 in Ocotepec, a small rural muni</w:t>
      </w:r>
      <w:r w:rsidR="00875E1A" w:rsidRPr="00A17D9B">
        <w:rPr>
          <w:rFonts w:ascii="Garamond" w:hAnsi="Garamond"/>
          <w:noProof/>
          <w:sz w:val="24"/>
          <w:szCs w:val="24"/>
          <w:lang w:val="en-GB"/>
        </w:rPr>
        <w:t>cipality in the s</w:t>
      </w:r>
      <w:r w:rsidR="008A393C" w:rsidRPr="00A17D9B">
        <w:rPr>
          <w:rFonts w:ascii="Garamond" w:hAnsi="Garamond"/>
          <w:noProof/>
          <w:sz w:val="24"/>
          <w:szCs w:val="24"/>
          <w:lang w:val="en-GB"/>
        </w:rPr>
        <w:t>tate of Puebla. This first probe gave us a f</w:t>
      </w:r>
      <w:r w:rsidR="00CD347F" w:rsidRPr="00A17D9B">
        <w:rPr>
          <w:rFonts w:ascii="Garamond" w:hAnsi="Garamond"/>
          <w:noProof/>
          <w:sz w:val="24"/>
          <w:szCs w:val="24"/>
          <w:lang w:val="en-GB"/>
        </w:rPr>
        <w:t>irst idea of the statistical validity of the questionnaire</w:t>
      </w:r>
      <w:r w:rsidR="008A393C" w:rsidRPr="00A17D9B">
        <w:rPr>
          <w:rFonts w:ascii="Garamond" w:hAnsi="Garamond"/>
          <w:noProof/>
          <w:sz w:val="24"/>
          <w:szCs w:val="24"/>
          <w:lang w:val="en-GB"/>
        </w:rPr>
        <w:t xml:space="preserve"> and helped </w:t>
      </w:r>
      <w:r w:rsidR="00CD347F" w:rsidRPr="00A17D9B">
        <w:rPr>
          <w:rFonts w:ascii="Garamond" w:hAnsi="Garamond"/>
          <w:noProof/>
          <w:sz w:val="24"/>
          <w:szCs w:val="24"/>
          <w:lang w:val="en-GB"/>
        </w:rPr>
        <w:t xml:space="preserve">identify </w:t>
      </w:r>
      <w:r w:rsidR="008A393C" w:rsidRPr="00A17D9B">
        <w:rPr>
          <w:rFonts w:ascii="Garamond" w:hAnsi="Garamond"/>
          <w:noProof/>
          <w:sz w:val="24"/>
          <w:szCs w:val="24"/>
          <w:lang w:val="en-GB"/>
        </w:rPr>
        <w:t xml:space="preserve">redundant and </w:t>
      </w:r>
      <w:r w:rsidR="00CD347F" w:rsidRPr="00A17D9B">
        <w:rPr>
          <w:rFonts w:ascii="Garamond" w:hAnsi="Garamond"/>
          <w:noProof/>
          <w:sz w:val="24"/>
          <w:szCs w:val="24"/>
          <w:lang w:val="en-GB"/>
        </w:rPr>
        <w:t>non</w:t>
      </w:r>
      <w:r w:rsidR="008A393C" w:rsidRPr="00A17D9B">
        <w:rPr>
          <w:rFonts w:ascii="Garamond" w:hAnsi="Garamond"/>
          <w:noProof/>
          <w:sz w:val="24"/>
          <w:szCs w:val="24"/>
          <w:lang w:val="en-GB"/>
        </w:rPr>
        <w:t>-</w:t>
      </w:r>
      <w:r w:rsidR="00CD347F" w:rsidRPr="00A17D9B">
        <w:rPr>
          <w:rFonts w:ascii="Garamond" w:hAnsi="Garamond"/>
          <w:noProof/>
          <w:sz w:val="24"/>
          <w:szCs w:val="24"/>
          <w:lang w:val="en-GB"/>
        </w:rPr>
        <w:t>pertinent question</w:t>
      </w:r>
      <w:r w:rsidR="008A393C" w:rsidRPr="00A17D9B">
        <w:rPr>
          <w:rFonts w:ascii="Garamond" w:hAnsi="Garamond"/>
          <w:noProof/>
          <w:sz w:val="24"/>
          <w:szCs w:val="24"/>
          <w:lang w:val="en-GB"/>
        </w:rPr>
        <w:t>s</w:t>
      </w:r>
      <w:r w:rsidR="00CD347F" w:rsidRPr="00A17D9B">
        <w:rPr>
          <w:rFonts w:ascii="Garamond" w:hAnsi="Garamond"/>
          <w:noProof/>
          <w:sz w:val="24"/>
          <w:szCs w:val="24"/>
          <w:lang w:val="en-GB"/>
        </w:rPr>
        <w:t xml:space="preserve"> and led to the final questionnaire</w:t>
      </w:r>
      <w:r w:rsidR="00C57577" w:rsidRPr="00A17D9B">
        <w:rPr>
          <w:rFonts w:ascii="Garamond" w:hAnsi="Garamond"/>
          <w:noProof/>
          <w:sz w:val="24"/>
          <w:szCs w:val="24"/>
          <w:lang w:val="en-GB"/>
        </w:rPr>
        <w:t xml:space="preserve"> </w:t>
      </w:r>
      <w:r w:rsidR="00CD347F" w:rsidRPr="00A17D9B">
        <w:rPr>
          <w:rFonts w:ascii="Garamond" w:hAnsi="Garamond"/>
          <w:noProof/>
          <w:sz w:val="24"/>
          <w:szCs w:val="24"/>
          <w:lang w:val="en-GB"/>
        </w:rPr>
        <w:t>applied in San Andres Cholula and Atlixco</w:t>
      </w:r>
      <w:r w:rsidR="008A393C" w:rsidRPr="00A17D9B">
        <w:rPr>
          <w:rFonts w:ascii="Garamond" w:hAnsi="Garamond"/>
          <w:noProof/>
          <w:sz w:val="24"/>
          <w:szCs w:val="24"/>
          <w:lang w:val="en-GB"/>
        </w:rPr>
        <w:t>, two other municipalities, at the end of 2019 and early 2020</w:t>
      </w:r>
      <w:r w:rsidR="00CD347F" w:rsidRPr="00A17D9B">
        <w:rPr>
          <w:rFonts w:ascii="Garamond" w:hAnsi="Garamond"/>
          <w:noProof/>
          <w:sz w:val="24"/>
          <w:szCs w:val="24"/>
          <w:lang w:val="en-GB"/>
        </w:rPr>
        <w:t xml:space="preserve">. </w:t>
      </w:r>
    </w:p>
    <w:p w14:paraId="5AF1C826" w14:textId="2C90D208" w:rsidR="003A0863" w:rsidRPr="00A17D9B" w:rsidRDefault="003A0863" w:rsidP="008C4002">
      <w:pPr>
        <w:pStyle w:val="Subttulo"/>
        <w:spacing w:before="240" w:after="120"/>
        <w:rPr>
          <w:noProof/>
          <w:lang w:val="en-GB"/>
        </w:rPr>
      </w:pPr>
      <w:r w:rsidRPr="00A17D9B">
        <w:rPr>
          <w:noProof/>
          <w:lang w:val="en-GB"/>
        </w:rPr>
        <w:t xml:space="preserve">Structure of the </w:t>
      </w:r>
      <w:r w:rsidR="00875E1A" w:rsidRPr="00A17D9B">
        <w:rPr>
          <w:noProof/>
          <w:lang w:val="en-GB"/>
        </w:rPr>
        <w:t>Common Good Dynamic’s Instrument (The Q</w:t>
      </w:r>
      <w:r w:rsidR="00A555B8" w:rsidRPr="00A17D9B">
        <w:rPr>
          <w:noProof/>
          <w:lang w:val="en-GB"/>
        </w:rPr>
        <w:t>uestionnaire)</w:t>
      </w:r>
    </w:p>
    <w:p w14:paraId="50A6469E" w14:textId="6355EA50" w:rsidR="00046941" w:rsidRPr="00A17D9B" w:rsidRDefault="008A393C" w:rsidP="008C4002">
      <w:pPr>
        <w:spacing w:before="120" w:after="0" w:line="320" w:lineRule="atLeast"/>
        <w:jc w:val="both"/>
        <w:rPr>
          <w:rFonts w:ascii="Garamond" w:hAnsi="Garamond"/>
          <w:noProof/>
          <w:sz w:val="24"/>
          <w:szCs w:val="24"/>
          <w:lang w:val="en-GB"/>
        </w:rPr>
      </w:pPr>
      <w:r w:rsidRPr="00A17D9B">
        <w:rPr>
          <w:rFonts w:ascii="Garamond" w:hAnsi="Garamond"/>
          <w:noProof/>
          <w:sz w:val="24"/>
          <w:szCs w:val="24"/>
          <w:lang w:val="en-GB"/>
        </w:rPr>
        <w:lastRenderedPageBreak/>
        <w:t xml:space="preserve">The </w:t>
      </w:r>
      <w:r w:rsidR="00A555B8" w:rsidRPr="00A17D9B">
        <w:rPr>
          <w:rFonts w:ascii="Garamond" w:hAnsi="Garamond"/>
          <w:noProof/>
          <w:sz w:val="24"/>
          <w:szCs w:val="24"/>
          <w:lang w:val="en-GB"/>
        </w:rPr>
        <w:t xml:space="preserve">instrument </w:t>
      </w:r>
      <w:r w:rsidR="00CD347F" w:rsidRPr="00A17D9B">
        <w:rPr>
          <w:rFonts w:ascii="Garamond" w:hAnsi="Garamond"/>
          <w:noProof/>
          <w:sz w:val="24"/>
          <w:szCs w:val="24"/>
          <w:lang w:val="en-GB"/>
        </w:rPr>
        <w:t xml:space="preserve">is made up of </w:t>
      </w:r>
      <w:r w:rsidR="00A555B8" w:rsidRPr="00A17D9B">
        <w:rPr>
          <w:rFonts w:ascii="Garamond" w:hAnsi="Garamond"/>
          <w:noProof/>
          <w:sz w:val="24"/>
          <w:szCs w:val="24"/>
          <w:lang w:val="en-GB"/>
        </w:rPr>
        <w:t>71</w:t>
      </w:r>
      <w:r w:rsidR="00CD347F" w:rsidRPr="00A17D9B">
        <w:rPr>
          <w:rFonts w:ascii="Garamond" w:hAnsi="Garamond"/>
          <w:noProof/>
          <w:sz w:val="24"/>
          <w:szCs w:val="24"/>
          <w:lang w:val="en-GB"/>
        </w:rPr>
        <w:t xml:space="preserve"> questions, organized in </w:t>
      </w:r>
      <w:r w:rsidRPr="00A17D9B">
        <w:rPr>
          <w:rFonts w:ascii="Garamond" w:hAnsi="Garamond"/>
          <w:noProof/>
          <w:sz w:val="24"/>
          <w:szCs w:val="24"/>
          <w:lang w:val="en-GB"/>
        </w:rPr>
        <w:t xml:space="preserve">six </w:t>
      </w:r>
      <w:r w:rsidR="00CD347F" w:rsidRPr="00A17D9B">
        <w:rPr>
          <w:rFonts w:ascii="Garamond" w:hAnsi="Garamond"/>
          <w:noProof/>
          <w:sz w:val="24"/>
          <w:szCs w:val="24"/>
          <w:lang w:val="en-GB"/>
        </w:rPr>
        <w:t>sections</w:t>
      </w:r>
      <w:r w:rsidR="00A555B8" w:rsidRPr="00A17D9B">
        <w:rPr>
          <w:rStyle w:val="Refdenotaalpie"/>
          <w:rFonts w:ascii="Garamond" w:hAnsi="Garamond"/>
          <w:noProof/>
          <w:sz w:val="24"/>
          <w:szCs w:val="24"/>
          <w:lang w:val="en-GB"/>
        </w:rPr>
        <w:footnoteReference w:id="15"/>
      </w:r>
      <w:r w:rsidRPr="00A17D9B">
        <w:rPr>
          <w:rFonts w:ascii="Garamond" w:hAnsi="Garamond"/>
          <w:noProof/>
          <w:sz w:val="24"/>
          <w:szCs w:val="24"/>
          <w:lang w:val="en-GB"/>
        </w:rPr>
        <w:t xml:space="preserve">. The first </w:t>
      </w:r>
      <w:r w:rsidR="00357E17" w:rsidRPr="00A17D9B">
        <w:rPr>
          <w:rFonts w:ascii="Garamond" w:hAnsi="Garamond"/>
          <w:noProof/>
          <w:sz w:val="24"/>
          <w:szCs w:val="24"/>
          <w:lang w:val="en-GB"/>
        </w:rPr>
        <w:t xml:space="preserve">section </w:t>
      </w:r>
      <w:r w:rsidRPr="00A17D9B">
        <w:rPr>
          <w:rFonts w:ascii="Garamond" w:hAnsi="Garamond"/>
          <w:noProof/>
          <w:sz w:val="24"/>
          <w:szCs w:val="24"/>
          <w:lang w:val="en-GB"/>
        </w:rPr>
        <w:t>captures</w:t>
      </w:r>
      <w:r w:rsidR="00357E17" w:rsidRPr="00A17D9B">
        <w:rPr>
          <w:rFonts w:ascii="Garamond" w:hAnsi="Garamond"/>
          <w:noProof/>
          <w:sz w:val="24"/>
          <w:szCs w:val="24"/>
          <w:lang w:val="en-GB"/>
        </w:rPr>
        <w:t xml:space="preserve"> </w:t>
      </w:r>
      <w:r w:rsidRPr="00A17D9B">
        <w:rPr>
          <w:rFonts w:ascii="Garamond" w:hAnsi="Garamond"/>
          <w:noProof/>
          <w:sz w:val="24"/>
          <w:szCs w:val="24"/>
          <w:lang w:val="en-GB"/>
        </w:rPr>
        <w:t xml:space="preserve">the socio-economic status </w:t>
      </w:r>
      <w:r w:rsidR="00C60C2F" w:rsidRPr="00A17D9B">
        <w:rPr>
          <w:rFonts w:ascii="Garamond" w:hAnsi="Garamond"/>
          <w:noProof/>
          <w:sz w:val="24"/>
          <w:szCs w:val="24"/>
          <w:lang w:val="en-GB"/>
        </w:rPr>
        <w:t xml:space="preserve">of each </w:t>
      </w:r>
      <w:r w:rsidR="00C57577" w:rsidRPr="00A17D9B">
        <w:rPr>
          <w:rFonts w:ascii="Garamond" w:hAnsi="Garamond"/>
          <w:noProof/>
          <w:sz w:val="24"/>
          <w:szCs w:val="24"/>
          <w:lang w:val="en-GB"/>
        </w:rPr>
        <w:t>respondent</w:t>
      </w:r>
      <w:r w:rsidR="00357E17" w:rsidRPr="00A17D9B">
        <w:rPr>
          <w:rFonts w:ascii="Garamond" w:hAnsi="Garamond"/>
          <w:noProof/>
          <w:sz w:val="24"/>
          <w:szCs w:val="24"/>
          <w:lang w:val="en-GB"/>
        </w:rPr>
        <w:t xml:space="preserve"> through a set of standardized questions proposed by the Mexican Statistical Institute (INEGI)</w:t>
      </w:r>
      <w:r w:rsidR="00C60C2F" w:rsidRPr="00A17D9B">
        <w:rPr>
          <w:rFonts w:ascii="Garamond" w:hAnsi="Garamond"/>
          <w:noProof/>
          <w:sz w:val="24"/>
          <w:szCs w:val="24"/>
          <w:lang w:val="en-GB"/>
        </w:rPr>
        <w:t xml:space="preserve">. </w:t>
      </w:r>
      <w:r w:rsidR="00C57577" w:rsidRPr="00A17D9B">
        <w:rPr>
          <w:rFonts w:ascii="Garamond" w:hAnsi="Garamond"/>
          <w:noProof/>
          <w:sz w:val="24"/>
          <w:szCs w:val="24"/>
          <w:lang w:val="en-GB"/>
        </w:rPr>
        <w:t>Then t</w:t>
      </w:r>
      <w:r w:rsidR="00C60C2F" w:rsidRPr="00A17D9B">
        <w:rPr>
          <w:rFonts w:ascii="Garamond" w:hAnsi="Garamond"/>
          <w:noProof/>
          <w:sz w:val="24"/>
          <w:szCs w:val="24"/>
          <w:lang w:val="en-GB"/>
        </w:rPr>
        <w:t xml:space="preserve">he following </w:t>
      </w:r>
      <w:r w:rsidR="00357E17" w:rsidRPr="00A17D9B">
        <w:rPr>
          <w:rFonts w:ascii="Garamond" w:hAnsi="Garamond"/>
          <w:noProof/>
          <w:sz w:val="24"/>
          <w:szCs w:val="24"/>
          <w:lang w:val="en-GB"/>
        </w:rPr>
        <w:t xml:space="preserve">five sections </w:t>
      </w:r>
      <w:r w:rsidR="00C60C2F" w:rsidRPr="00A17D9B">
        <w:rPr>
          <w:rFonts w:ascii="Garamond" w:hAnsi="Garamond"/>
          <w:noProof/>
          <w:sz w:val="24"/>
          <w:szCs w:val="24"/>
          <w:lang w:val="en-GB"/>
        </w:rPr>
        <w:t xml:space="preserve">capture </w:t>
      </w:r>
      <w:r w:rsidR="00C57577" w:rsidRPr="00A17D9B">
        <w:rPr>
          <w:rFonts w:ascii="Garamond" w:hAnsi="Garamond"/>
          <w:noProof/>
          <w:sz w:val="24"/>
          <w:szCs w:val="24"/>
          <w:lang w:val="en-GB"/>
        </w:rPr>
        <w:t xml:space="preserve">information for </w:t>
      </w:r>
      <w:r w:rsidR="00357E17" w:rsidRPr="00A17D9B">
        <w:rPr>
          <w:rFonts w:ascii="Garamond" w:hAnsi="Garamond"/>
          <w:noProof/>
          <w:sz w:val="24"/>
          <w:szCs w:val="24"/>
          <w:lang w:val="en-GB"/>
        </w:rPr>
        <w:t xml:space="preserve">each of </w:t>
      </w:r>
      <w:r w:rsidR="00C60C2F" w:rsidRPr="00A17D9B">
        <w:rPr>
          <w:rFonts w:ascii="Garamond" w:hAnsi="Garamond"/>
          <w:noProof/>
          <w:sz w:val="24"/>
          <w:szCs w:val="24"/>
          <w:lang w:val="en-GB"/>
        </w:rPr>
        <w:t xml:space="preserve">the </w:t>
      </w:r>
      <w:r w:rsidR="00C57577" w:rsidRPr="00A17D9B">
        <w:rPr>
          <w:rFonts w:ascii="Garamond" w:hAnsi="Garamond"/>
          <w:noProof/>
          <w:sz w:val="24"/>
          <w:szCs w:val="24"/>
          <w:lang w:val="en-GB"/>
        </w:rPr>
        <w:t xml:space="preserve">five </w:t>
      </w:r>
      <w:r w:rsidR="00357E17" w:rsidRPr="00A17D9B">
        <w:rPr>
          <w:rFonts w:ascii="Garamond" w:hAnsi="Garamond"/>
          <w:noProof/>
          <w:sz w:val="24"/>
          <w:szCs w:val="24"/>
          <w:lang w:val="en-GB"/>
        </w:rPr>
        <w:t xml:space="preserve">normative </w:t>
      </w:r>
      <w:r w:rsidR="00CD347F" w:rsidRPr="00A17D9B">
        <w:rPr>
          <w:rFonts w:ascii="Garamond" w:hAnsi="Garamond"/>
          <w:noProof/>
          <w:sz w:val="24"/>
          <w:szCs w:val="24"/>
          <w:lang w:val="en-GB"/>
        </w:rPr>
        <w:t>driver</w:t>
      </w:r>
      <w:r w:rsidR="006C63E4" w:rsidRPr="00A17D9B">
        <w:rPr>
          <w:rFonts w:ascii="Garamond" w:hAnsi="Garamond"/>
          <w:noProof/>
          <w:sz w:val="24"/>
          <w:szCs w:val="24"/>
          <w:lang w:val="en-GB"/>
        </w:rPr>
        <w:t>s</w:t>
      </w:r>
      <w:r w:rsidR="00357E17" w:rsidRPr="00A17D9B">
        <w:rPr>
          <w:rFonts w:ascii="Garamond" w:hAnsi="Garamond"/>
          <w:noProof/>
          <w:sz w:val="24"/>
          <w:szCs w:val="24"/>
          <w:lang w:val="en-GB"/>
        </w:rPr>
        <w:t xml:space="preserve"> of common good dynamics </w:t>
      </w:r>
      <w:r w:rsidR="00CD347F" w:rsidRPr="00A17D9B">
        <w:rPr>
          <w:rFonts w:ascii="Garamond" w:hAnsi="Garamond"/>
          <w:noProof/>
          <w:sz w:val="24"/>
          <w:szCs w:val="24"/>
          <w:lang w:val="en-GB"/>
        </w:rPr>
        <w:t xml:space="preserve">(collective agency freedom; governance, stability, justice and humanity). </w:t>
      </w:r>
    </w:p>
    <w:p w14:paraId="675957E1" w14:textId="424F78DF" w:rsidR="00B10D6E" w:rsidRPr="00A17D9B" w:rsidRDefault="00B10D6E" w:rsidP="008C4002">
      <w:pPr>
        <w:spacing w:before="120" w:after="0" w:line="320" w:lineRule="atLeast"/>
        <w:jc w:val="both"/>
        <w:rPr>
          <w:rFonts w:ascii="Garamond" w:hAnsi="Garamond"/>
          <w:noProof/>
          <w:sz w:val="24"/>
          <w:szCs w:val="24"/>
          <w:lang w:val="en-GB"/>
        </w:rPr>
      </w:pPr>
      <w:r w:rsidRPr="00A17D9B">
        <w:rPr>
          <w:rFonts w:ascii="Garamond" w:hAnsi="Garamond"/>
          <w:noProof/>
          <w:sz w:val="24"/>
          <w:szCs w:val="24"/>
          <w:lang w:val="en-GB"/>
        </w:rPr>
        <w:t xml:space="preserve">The subset of questions dedicated to </w:t>
      </w:r>
      <w:r w:rsidR="00C57577" w:rsidRPr="00A17D9B">
        <w:rPr>
          <w:rFonts w:ascii="Garamond" w:hAnsi="Garamond"/>
          <w:noProof/>
          <w:sz w:val="24"/>
          <w:szCs w:val="24"/>
          <w:lang w:val="en-GB"/>
        </w:rPr>
        <w:t>‘</w:t>
      </w:r>
      <w:r w:rsidR="00A94733" w:rsidRPr="00A17D9B">
        <w:rPr>
          <w:rFonts w:ascii="Garamond" w:hAnsi="Garamond"/>
          <w:noProof/>
          <w:sz w:val="24"/>
          <w:szCs w:val="24"/>
          <w:lang w:val="en-GB"/>
        </w:rPr>
        <w:t>c</w:t>
      </w:r>
      <w:r w:rsidRPr="00A17D9B">
        <w:rPr>
          <w:rFonts w:ascii="Garamond" w:hAnsi="Garamond"/>
          <w:noProof/>
          <w:sz w:val="24"/>
          <w:szCs w:val="24"/>
          <w:lang w:val="en-GB"/>
        </w:rPr>
        <w:t xml:space="preserve">ollective </w:t>
      </w:r>
      <w:r w:rsidR="00C57577" w:rsidRPr="00A17D9B">
        <w:rPr>
          <w:rFonts w:ascii="Garamond" w:hAnsi="Garamond"/>
          <w:noProof/>
          <w:sz w:val="24"/>
          <w:szCs w:val="24"/>
          <w:lang w:val="en-GB"/>
        </w:rPr>
        <w:t>a</w:t>
      </w:r>
      <w:r w:rsidRPr="00A17D9B">
        <w:rPr>
          <w:rFonts w:ascii="Garamond" w:hAnsi="Garamond"/>
          <w:noProof/>
          <w:sz w:val="24"/>
          <w:szCs w:val="24"/>
          <w:lang w:val="en-GB"/>
        </w:rPr>
        <w:t xml:space="preserve">gency </w:t>
      </w:r>
      <w:r w:rsidR="00C57577" w:rsidRPr="00A17D9B">
        <w:rPr>
          <w:rFonts w:ascii="Garamond" w:hAnsi="Garamond"/>
          <w:noProof/>
          <w:sz w:val="24"/>
          <w:szCs w:val="24"/>
          <w:lang w:val="en-GB"/>
        </w:rPr>
        <w:t>f</w:t>
      </w:r>
      <w:r w:rsidRPr="00A17D9B">
        <w:rPr>
          <w:rFonts w:ascii="Garamond" w:hAnsi="Garamond"/>
          <w:noProof/>
          <w:sz w:val="24"/>
          <w:szCs w:val="24"/>
          <w:lang w:val="en-GB"/>
        </w:rPr>
        <w:t>reedom</w:t>
      </w:r>
      <w:r w:rsidR="00C57577" w:rsidRPr="00A17D9B">
        <w:rPr>
          <w:rFonts w:ascii="Garamond" w:hAnsi="Garamond"/>
          <w:noProof/>
          <w:sz w:val="24"/>
          <w:szCs w:val="24"/>
          <w:lang w:val="en-GB"/>
        </w:rPr>
        <w:t>’</w:t>
      </w:r>
      <w:r w:rsidRPr="00A17D9B">
        <w:rPr>
          <w:rFonts w:ascii="Garamond" w:hAnsi="Garamond"/>
          <w:noProof/>
          <w:sz w:val="24"/>
          <w:szCs w:val="24"/>
          <w:lang w:val="en-GB"/>
        </w:rPr>
        <w:t xml:space="preserve"> captures the different stages of the process by which collective agency emerges, get</w:t>
      </w:r>
      <w:r w:rsidR="00A94733" w:rsidRPr="00A17D9B">
        <w:rPr>
          <w:rFonts w:ascii="Garamond" w:hAnsi="Garamond"/>
          <w:noProof/>
          <w:sz w:val="24"/>
          <w:szCs w:val="24"/>
          <w:lang w:val="en-GB"/>
        </w:rPr>
        <w:t>s</w:t>
      </w:r>
      <w:r w:rsidRPr="00A17D9B">
        <w:rPr>
          <w:rFonts w:ascii="Garamond" w:hAnsi="Garamond"/>
          <w:noProof/>
          <w:sz w:val="24"/>
          <w:szCs w:val="24"/>
          <w:lang w:val="en-GB"/>
        </w:rPr>
        <w:t xml:space="preserve"> organized and becomes effective. Each question settles around a specific part of this process by which people value, organize and use agency freedom in their locali</w:t>
      </w:r>
      <w:r w:rsidR="00A94733" w:rsidRPr="00A17D9B">
        <w:rPr>
          <w:rFonts w:ascii="Garamond" w:hAnsi="Garamond"/>
          <w:noProof/>
          <w:sz w:val="24"/>
          <w:szCs w:val="24"/>
          <w:lang w:val="en-GB"/>
        </w:rPr>
        <w:t>ty. These questions tell us</w:t>
      </w:r>
      <w:r w:rsidRPr="00A17D9B">
        <w:rPr>
          <w:rFonts w:ascii="Garamond" w:hAnsi="Garamond"/>
          <w:noProof/>
          <w:sz w:val="24"/>
          <w:szCs w:val="24"/>
          <w:lang w:val="en-GB"/>
        </w:rPr>
        <w:t xml:space="preserve"> </w:t>
      </w:r>
      <w:r w:rsidR="004F4784" w:rsidRPr="00A17D9B">
        <w:rPr>
          <w:rFonts w:ascii="Garamond" w:hAnsi="Garamond"/>
          <w:noProof/>
          <w:sz w:val="24"/>
          <w:szCs w:val="24"/>
          <w:lang w:val="en-GB"/>
        </w:rPr>
        <w:t>how much collective agency freedom exist</w:t>
      </w:r>
      <w:r w:rsidR="00A94733" w:rsidRPr="00A17D9B">
        <w:rPr>
          <w:rFonts w:ascii="Garamond" w:hAnsi="Garamond"/>
          <w:noProof/>
          <w:sz w:val="24"/>
          <w:szCs w:val="24"/>
          <w:lang w:val="en-GB"/>
        </w:rPr>
        <w:t>s</w:t>
      </w:r>
      <w:r w:rsidR="004F4784" w:rsidRPr="00A17D9B">
        <w:rPr>
          <w:rFonts w:ascii="Garamond" w:hAnsi="Garamond"/>
          <w:noProof/>
          <w:sz w:val="24"/>
          <w:szCs w:val="24"/>
          <w:lang w:val="en-GB"/>
        </w:rPr>
        <w:t xml:space="preserve"> in the nexus. More specifically, how much collective agency freedom is compatible with the actual structure of the nexus. </w:t>
      </w:r>
      <w:r w:rsidRPr="00A17D9B">
        <w:rPr>
          <w:rFonts w:ascii="Garamond" w:hAnsi="Garamond"/>
          <w:noProof/>
          <w:sz w:val="24"/>
          <w:szCs w:val="24"/>
          <w:lang w:val="en-GB"/>
        </w:rPr>
        <w:t xml:space="preserve">Several </w:t>
      </w:r>
      <w:r w:rsidR="00A94733" w:rsidRPr="00A17D9B">
        <w:rPr>
          <w:rFonts w:ascii="Garamond" w:hAnsi="Garamond"/>
          <w:noProof/>
          <w:sz w:val="24"/>
          <w:szCs w:val="24"/>
          <w:lang w:val="en-GB"/>
        </w:rPr>
        <w:t>oth</w:t>
      </w:r>
      <w:r w:rsidR="004F4784" w:rsidRPr="00A17D9B">
        <w:rPr>
          <w:rFonts w:ascii="Garamond" w:hAnsi="Garamond"/>
          <w:noProof/>
          <w:sz w:val="24"/>
          <w:szCs w:val="24"/>
          <w:lang w:val="en-GB"/>
        </w:rPr>
        <w:t xml:space="preserve">er </w:t>
      </w:r>
      <w:r w:rsidRPr="00A17D9B">
        <w:rPr>
          <w:rFonts w:ascii="Garamond" w:hAnsi="Garamond"/>
          <w:noProof/>
          <w:sz w:val="24"/>
          <w:szCs w:val="24"/>
          <w:lang w:val="en-GB"/>
        </w:rPr>
        <w:t xml:space="preserve">questions </w:t>
      </w:r>
      <w:r w:rsidR="004F4784" w:rsidRPr="00A17D9B">
        <w:rPr>
          <w:rFonts w:ascii="Garamond" w:hAnsi="Garamond"/>
          <w:noProof/>
          <w:sz w:val="24"/>
          <w:szCs w:val="24"/>
          <w:lang w:val="en-GB"/>
        </w:rPr>
        <w:t xml:space="preserve">then </w:t>
      </w:r>
      <w:r w:rsidRPr="00A17D9B">
        <w:rPr>
          <w:rFonts w:ascii="Garamond" w:hAnsi="Garamond"/>
          <w:noProof/>
          <w:sz w:val="24"/>
          <w:szCs w:val="24"/>
          <w:lang w:val="en-GB"/>
        </w:rPr>
        <w:t xml:space="preserve">investigate the relationship between collective agency freedom and the other key drivers of common good dynamics, namely justice, governance and stability (normative relationality). How is ‘collective </w:t>
      </w:r>
      <w:r w:rsidR="00A94733" w:rsidRPr="00A17D9B">
        <w:rPr>
          <w:rFonts w:ascii="Garamond" w:hAnsi="Garamond"/>
          <w:noProof/>
          <w:sz w:val="24"/>
          <w:szCs w:val="24"/>
          <w:lang w:val="en-GB"/>
        </w:rPr>
        <w:t xml:space="preserve">agency freedom’ distributed, </w:t>
      </w:r>
      <w:r w:rsidRPr="00A17D9B">
        <w:rPr>
          <w:rFonts w:ascii="Garamond" w:hAnsi="Garamond"/>
          <w:noProof/>
          <w:sz w:val="24"/>
          <w:szCs w:val="24"/>
          <w:lang w:val="en-GB"/>
        </w:rPr>
        <w:t>accessed (question on power) and governed</w:t>
      </w:r>
      <w:r w:rsidR="00A94733" w:rsidRPr="00A17D9B">
        <w:rPr>
          <w:rFonts w:ascii="Garamond" w:hAnsi="Garamond"/>
          <w:noProof/>
          <w:sz w:val="24"/>
          <w:szCs w:val="24"/>
          <w:lang w:val="en-GB"/>
        </w:rPr>
        <w:t>?</w:t>
      </w:r>
      <w:r w:rsidRPr="00A17D9B">
        <w:rPr>
          <w:rFonts w:ascii="Garamond" w:hAnsi="Garamond"/>
          <w:noProof/>
          <w:sz w:val="24"/>
          <w:szCs w:val="24"/>
          <w:lang w:val="en-GB"/>
        </w:rPr>
        <w:t xml:space="preserve"> (question on participation and co-governance). Is ‘collective agency freedom’ stable or not over time</w:t>
      </w:r>
      <w:r w:rsidR="00A94733" w:rsidRPr="00A17D9B">
        <w:rPr>
          <w:rFonts w:ascii="Garamond" w:hAnsi="Garamond"/>
          <w:noProof/>
          <w:sz w:val="24"/>
          <w:szCs w:val="24"/>
          <w:lang w:val="en-GB"/>
        </w:rPr>
        <w:t>?</w:t>
      </w:r>
      <w:r w:rsidRPr="00A17D9B">
        <w:rPr>
          <w:rFonts w:ascii="Garamond" w:hAnsi="Garamond"/>
          <w:noProof/>
          <w:sz w:val="24"/>
          <w:szCs w:val="24"/>
          <w:lang w:val="en-GB"/>
        </w:rPr>
        <w:t xml:space="preserve"> (question on sustainability). </w:t>
      </w:r>
      <w:r w:rsidR="00A267FE" w:rsidRPr="00A17D9B">
        <w:rPr>
          <w:rFonts w:ascii="Garamond" w:hAnsi="Garamond"/>
          <w:noProof/>
          <w:sz w:val="24"/>
          <w:szCs w:val="24"/>
          <w:lang w:val="en-GB"/>
        </w:rPr>
        <w:t>These questions indicate whether</w:t>
      </w:r>
      <w:r w:rsidR="004F4784" w:rsidRPr="00A17D9B">
        <w:rPr>
          <w:rFonts w:ascii="Garamond" w:hAnsi="Garamond"/>
          <w:noProof/>
          <w:sz w:val="24"/>
          <w:szCs w:val="24"/>
          <w:lang w:val="en-GB"/>
        </w:rPr>
        <w:t xml:space="preserve"> collective agency freedom builds up and contribute</w:t>
      </w:r>
      <w:r w:rsidR="00C57577" w:rsidRPr="00A17D9B">
        <w:rPr>
          <w:rFonts w:ascii="Garamond" w:hAnsi="Garamond"/>
          <w:noProof/>
          <w:sz w:val="24"/>
          <w:szCs w:val="24"/>
          <w:lang w:val="en-GB"/>
        </w:rPr>
        <w:t>s</w:t>
      </w:r>
      <w:r w:rsidR="004F4784" w:rsidRPr="00A17D9B">
        <w:rPr>
          <w:rFonts w:ascii="Garamond" w:hAnsi="Garamond"/>
          <w:noProof/>
          <w:sz w:val="24"/>
          <w:szCs w:val="24"/>
          <w:lang w:val="en-GB"/>
        </w:rPr>
        <w:t xml:space="preserve"> to a common good dynamic or not. The existence of collective agency freedom may be high in a nexus but not well distributed or unstable</w:t>
      </w:r>
      <w:r w:rsidR="00A267FE" w:rsidRPr="00A17D9B">
        <w:rPr>
          <w:rFonts w:ascii="Garamond" w:hAnsi="Garamond"/>
          <w:noProof/>
          <w:sz w:val="24"/>
          <w:szCs w:val="24"/>
          <w:lang w:val="en-GB"/>
        </w:rPr>
        <w:t>. In that case it may not add</w:t>
      </w:r>
      <w:r w:rsidR="004F4784" w:rsidRPr="00A17D9B">
        <w:rPr>
          <w:rFonts w:ascii="Garamond" w:hAnsi="Garamond"/>
          <w:noProof/>
          <w:sz w:val="24"/>
          <w:szCs w:val="24"/>
          <w:lang w:val="en-GB"/>
        </w:rPr>
        <w:t xml:space="preserve"> to the dynamic or even disturb it. </w:t>
      </w:r>
    </w:p>
    <w:p w14:paraId="698D44B4" w14:textId="569B13C2" w:rsidR="00B10D6E" w:rsidRPr="00A17D9B" w:rsidRDefault="004F4784" w:rsidP="008C4002">
      <w:pPr>
        <w:spacing w:before="120" w:after="0" w:line="320" w:lineRule="atLeast"/>
        <w:jc w:val="both"/>
        <w:rPr>
          <w:rFonts w:ascii="Garamond" w:hAnsi="Garamond"/>
          <w:noProof/>
          <w:sz w:val="24"/>
          <w:szCs w:val="24"/>
          <w:lang w:val="en-GB"/>
        </w:rPr>
      </w:pPr>
      <w:r w:rsidRPr="00A17D9B">
        <w:rPr>
          <w:rFonts w:ascii="Garamond" w:hAnsi="Garamond"/>
          <w:noProof/>
          <w:sz w:val="24"/>
          <w:szCs w:val="24"/>
          <w:lang w:val="en-GB"/>
        </w:rPr>
        <w:t>As seen before, ‘g</w:t>
      </w:r>
      <w:r w:rsidR="00B10D6E" w:rsidRPr="00A17D9B">
        <w:rPr>
          <w:rFonts w:ascii="Garamond" w:hAnsi="Garamond"/>
          <w:noProof/>
          <w:sz w:val="24"/>
          <w:szCs w:val="24"/>
          <w:lang w:val="en-GB"/>
        </w:rPr>
        <w:t>overnance</w:t>
      </w:r>
      <w:r w:rsidRPr="00A17D9B">
        <w:rPr>
          <w:rFonts w:ascii="Garamond" w:hAnsi="Garamond"/>
          <w:noProof/>
          <w:sz w:val="24"/>
          <w:szCs w:val="24"/>
          <w:lang w:val="en-GB"/>
        </w:rPr>
        <w:t>’, ‘justice’</w:t>
      </w:r>
      <w:r w:rsidR="00B10D6E" w:rsidRPr="00A17D9B">
        <w:rPr>
          <w:rFonts w:ascii="Garamond" w:hAnsi="Garamond"/>
          <w:noProof/>
          <w:sz w:val="24"/>
          <w:szCs w:val="24"/>
          <w:lang w:val="en-GB"/>
        </w:rPr>
        <w:t xml:space="preserve"> </w:t>
      </w:r>
      <w:r w:rsidRPr="00A17D9B">
        <w:rPr>
          <w:rFonts w:ascii="Garamond" w:hAnsi="Garamond"/>
          <w:noProof/>
          <w:sz w:val="24"/>
          <w:szCs w:val="24"/>
          <w:lang w:val="en-GB"/>
        </w:rPr>
        <w:t xml:space="preserve">and ‘stability’ </w:t>
      </w:r>
      <w:r w:rsidR="005930C3" w:rsidRPr="00A17D9B">
        <w:rPr>
          <w:rFonts w:ascii="Garamond" w:hAnsi="Garamond"/>
          <w:noProof/>
          <w:sz w:val="24"/>
          <w:szCs w:val="24"/>
          <w:lang w:val="en-GB"/>
        </w:rPr>
        <w:t xml:space="preserve">are the key drivers structuring the nexus and </w:t>
      </w:r>
      <w:r w:rsidR="00A267FE" w:rsidRPr="00A17D9B">
        <w:rPr>
          <w:rFonts w:ascii="Garamond" w:hAnsi="Garamond"/>
          <w:noProof/>
          <w:sz w:val="24"/>
          <w:szCs w:val="24"/>
          <w:lang w:val="en-GB"/>
        </w:rPr>
        <w:t>gearing it t</w:t>
      </w:r>
      <w:r w:rsidR="005930C3" w:rsidRPr="00A17D9B">
        <w:rPr>
          <w:rFonts w:ascii="Garamond" w:hAnsi="Garamond"/>
          <w:noProof/>
          <w:sz w:val="24"/>
          <w:szCs w:val="24"/>
          <w:lang w:val="en-GB"/>
        </w:rPr>
        <w:t>oward</w:t>
      </w:r>
      <w:r w:rsidR="00A267FE" w:rsidRPr="00A17D9B">
        <w:rPr>
          <w:rFonts w:ascii="Garamond" w:hAnsi="Garamond"/>
          <w:noProof/>
          <w:sz w:val="24"/>
          <w:szCs w:val="24"/>
          <w:lang w:val="en-GB"/>
        </w:rPr>
        <w:t>s an ever-growing</w:t>
      </w:r>
      <w:r w:rsidR="005930C3" w:rsidRPr="00A17D9B">
        <w:rPr>
          <w:rFonts w:ascii="Garamond" w:hAnsi="Garamond"/>
          <w:noProof/>
          <w:sz w:val="24"/>
          <w:szCs w:val="24"/>
          <w:lang w:val="en-GB"/>
        </w:rPr>
        <w:t xml:space="preserve"> human coexistence. The </w:t>
      </w:r>
      <w:r w:rsidR="00B10D6E" w:rsidRPr="00A17D9B">
        <w:rPr>
          <w:rFonts w:ascii="Garamond" w:hAnsi="Garamond"/>
          <w:noProof/>
          <w:sz w:val="24"/>
          <w:szCs w:val="24"/>
          <w:lang w:val="en-GB"/>
        </w:rPr>
        <w:t>questions</w:t>
      </w:r>
      <w:r w:rsidR="00A267FE" w:rsidRPr="00A17D9B">
        <w:rPr>
          <w:rFonts w:ascii="Garamond" w:hAnsi="Garamond"/>
          <w:noProof/>
          <w:sz w:val="24"/>
          <w:szCs w:val="24"/>
          <w:lang w:val="en-GB"/>
        </w:rPr>
        <w:t>,</w:t>
      </w:r>
      <w:r w:rsidR="00B10D6E" w:rsidRPr="00A17D9B">
        <w:rPr>
          <w:rFonts w:ascii="Garamond" w:hAnsi="Garamond"/>
          <w:noProof/>
          <w:sz w:val="24"/>
          <w:szCs w:val="24"/>
          <w:lang w:val="en-GB"/>
        </w:rPr>
        <w:t xml:space="preserve"> </w:t>
      </w:r>
      <w:r w:rsidR="005930C3" w:rsidRPr="00A17D9B">
        <w:rPr>
          <w:rFonts w:ascii="Garamond" w:hAnsi="Garamond"/>
          <w:noProof/>
          <w:sz w:val="24"/>
          <w:szCs w:val="24"/>
          <w:lang w:val="en-GB"/>
        </w:rPr>
        <w:t xml:space="preserve">relative to each </w:t>
      </w:r>
      <w:r w:rsidR="007D7069" w:rsidRPr="00A17D9B">
        <w:rPr>
          <w:rFonts w:ascii="Garamond" w:hAnsi="Garamond"/>
          <w:noProof/>
          <w:sz w:val="24"/>
          <w:szCs w:val="24"/>
          <w:lang w:val="en-GB"/>
        </w:rPr>
        <w:t xml:space="preserve">of these three </w:t>
      </w:r>
      <w:r w:rsidR="005930C3" w:rsidRPr="00A17D9B">
        <w:rPr>
          <w:rFonts w:ascii="Garamond" w:hAnsi="Garamond"/>
          <w:noProof/>
          <w:sz w:val="24"/>
          <w:szCs w:val="24"/>
          <w:lang w:val="en-GB"/>
        </w:rPr>
        <w:t>dimension</w:t>
      </w:r>
      <w:r w:rsidR="007D7069" w:rsidRPr="00A17D9B">
        <w:rPr>
          <w:rFonts w:ascii="Garamond" w:hAnsi="Garamond"/>
          <w:noProof/>
          <w:sz w:val="24"/>
          <w:szCs w:val="24"/>
          <w:lang w:val="en-GB"/>
        </w:rPr>
        <w:t>s</w:t>
      </w:r>
      <w:r w:rsidR="00A267FE" w:rsidRPr="00A17D9B">
        <w:rPr>
          <w:rFonts w:ascii="Garamond" w:hAnsi="Garamond"/>
          <w:noProof/>
          <w:sz w:val="24"/>
          <w:szCs w:val="24"/>
          <w:lang w:val="en-GB"/>
        </w:rPr>
        <w:t>,</w:t>
      </w:r>
      <w:r w:rsidR="005930C3" w:rsidRPr="00A17D9B">
        <w:rPr>
          <w:rFonts w:ascii="Garamond" w:hAnsi="Garamond"/>
          <w:noProof/>
          <w:sz w:val="24"/>
          <w:szCs w:val="24"/>
          <w:lang w:val="en-GB"/>
        </w:rPr>
        <w:t xml:space="preserve"> follow the same pattern. A first set of question</w:t>
      </w:r>
      <w:r w:rsidR="00C57577" w:rsidRPr="00A17D9B">
        <w:rPr>
          <w:rFonts w:ascii="Garamond" w:hAnsi="Garamond"/>
          <w:noProof/>
          <w:sz w:val="24"/>
          <w:szCs w:val="24"/>
          <w:lang w:val="en-GB"/>
        </w:rPr>
        <w:t>s</w:t>
      </w:r>
      <w:r w:rsidR="005930C3" w:rsidRPr="00A17D9B">
        <w:rPr>
          <w:rFonts w:ascii="Garamond" w:hAnsi="Garamond"/>
          <w:noProof/>
          <w:sz w:val="24"/>
          <w:szCs w:val="24"/>
          <w:lang w:val="en-GB"/>
        </w:rPr>
        <w:t xml:space="preserve"> </w:t>
      </w:r>
      <w:r w:rsidR="00B10D6E" w:rsidRPr="00A17D9B">
        <w:rPr>
          <w:rFonts w:ascii="Garamond" w:hAnsi="Garamond"/>
          <w:noProof/>
          <w:sz w:val="24"/>
          <w:szCs w:val="24"/>
          <w:lang w:val="en-GB"/>
        </w:rPr>
        <w:t xml:space="preserve">inform about the </w:t>
      </w:r>
      <w:r w:rsidR="007D7069" w:rsidRPr="00A17D9B">
        <w:rPr>
          <w:rFonts w:ascii="Garamond" w:hAnsi="Garamond"/>
          <w:noProof/>
          <w:sz w:val="24"/>
          <w:szCs w:val="24"/>
          <w:lang w:val="en-GB"/>
        </w:rPr>
        <w:t xml:space="preserve">existence, stability, distribution and </w:t>
      </w:r>
      <w:r w:rsidR="00B10D6E" w:rsidRPr="00A17D9B">
        <w:rPr>
          <w:rFonts w:ascii="Garamond" w:hAnsi="Garamond"/>
          <w:noProof/>
          <w:sz w:val="24"/>
          <w:szCs w:val="24"/>
          <w:lang w:val="en-GB"/>
        </w:rPr>
        <w:t>provision of the five basic common goods</w:t>
      </w:r>
      <w:r w:rsidR="004F2D4F" w:rsidRPr="00A17D9B">
        <w:rPr>
          <w:rFonts w:ascii="Garamond" w:hAnsi="Garamond"/>
          <w:noProof/>
          <w:sz w:val="24"/>
          <w:szCs w:val="24"/>
          <w:lang w:val="en-GB"/>
        </w:rPr>
        <w:t>: ‘Culture’, ‘Education’, ‘Work’, ‘Solidarity’ and ‘Rule of Law’</w:t>
      </w:r>
      <w:r w:rsidR="007D7069" w:rsidRPr="00A17D9B">
        <w:rPr>
          <w:rFonts w:ascii="Garamond" w:hAnsi="Garamond"/>
          <w:noProof/>
          <w:sz w:val="24"/>
          <w:szCs w:val="24"/>
          <w:lang w:val="en-GB"/>
        </w:rPr>
        <w:t>. A second set of questions then captures how this specific driver relate</w:t>
      </w:r>
      <w:r w:rsidR="00A267FE" w:rsidRPr="00A17D9B">
        <w:rPr>
          <w:rFonts w:ascii="Garamond" w:hAnsi="Garamond"/>
          <w:noProof/>
          <w:sz w:val="24"/>
          <w:szCs w:val="24"/>
          <w:lang w:val="en-GB"/>
        </w:rPr>
        <w:t>s</w:t>
      </w:r>
      <w:r w:rsidR="007D7069" w:rsidRPr="00A17D9B">
        <w:rPr>
          <w:rFonts w:ascii="Garamond" w:hAnsi="Garamond"/>
          <w:noProof/>
          <w:sz w:val="24"/>
          <w:szCs w:val="24"/>
          <w:lang w:val="en-GB"/>
        </w:rPr>
        <w:t xml:space="preserve"> to the others. ‘Governance’ questions will thus first identify if the local authority provides and governs the five basic common goods. The second set of ‘governance’ question</w:t>
      </w:r>
      <w:r w:rsidR="006C7AD4" w:rsidRPr="00A17D9B">
        <w:rPr>
          <w:rFonts w:ascii="Garamond" w:hAnsi="Garamond"/>
          <w:noProof/>
          <w:sz w:val="24"/>
          <w:szCs w:val="24"/>
          <w:lang w:val="en-GB"/>
        </w:rPr>
        <w:t>s</w:t>
      </w:r>
      <w:r w:rsidR="007D7069" w:rsidRPr="00A17D9B">
        <w:rPr>
          <w:rFonts w:ascii="Garamond" w:hAnsi="Garamond"/>
          <w:noProof/>
          <w:sz w:val="24"/>
          <w:szCs w:val="24"/>
          <w:lang w:val="en-GB"/>
        </w:rPr>
        <w:t xml:space="preserve"> refer to the way local authority furthers justice, agency freedom and stability. ‘Justice’ questions capture first the distribution </w:t>
      </w:r>
      <w:r w:rsidR="00CB3E45" w:rsidRPr="00A17D9B">
        <w:rPr>
          <w:rFonts w:ascii="Garamond" w:hAnsi="Garamond"/>
          <w:noProof/>
          <w:sz w:val="24"/>
          <w:szCs w:val="24"/>
          <w:lang w:val="en-GB"/>
        </w:rPr>
        <w:t>and access to the five basic common goods (which are meant, as basic common good</w:t>
      </w:r>
      <w:r w:rsidR="00A267FE" w:rsidRPr="00A17D9B">
        <w:rPr>
          <w:rFonts w:ascii="Garamond" w:hAnsi="Garamond"/>
          <w:noProof/>
          <w:sz w:val="24"/>
          <w:szCs w:val="24"/>
          <w:lang w:val="en-GB"/>
        </w:rPr>
        <w:t>,</w:t>
      </w:r>
      <w:r w:rsidR="00CB3E45" w:rsidRPr="00A17D9B">
        <w:rPr>
          <w:rFonts w:ascii="Garamond" w:hAnsi="Garamond"/>
          <w:noProof/>
          <w:sz w:val="24"/>
          <w:szCs w:val="24"/>
          <w:lang w:val="en-GB"/>
        </w:rPr>
        <w:t xml:space="preserve"> to be universally distributed and accessible), while a second set of questions investigate if governance, stability and agency freedom are well distributed and acce</w:t>
      </w:r>
      <w:r w:rsidR="00A267FE" w:rsidRPr="00A17D9B">
        <w:rPr>
          <w:rFonts w:ascii="Garamond" w:hAnsi="Garamond"/>
          <w:noProof/>
          <w:sz w:val="24"/>
          <w:szCs w:val="24"/>
          <w:lang w:val="en-GB"/>
        </w:rPr>
        <w:t>ssible in the nexus. Finally, ‘s</w:t>
      </w:r>
      <w:r w:rsidR="00CB3E45" w:rsidRPr="00A17D9B">
        <w:rPr>
          <w:rFonts w:ascii="Garamond" w:hAnsi="Garamond"/>
          <w:noProof/>
          <w:sz w:val="24"/>
          <w:szCs w:val="24"/>
          <w:lang w:val="en-GB"/>
        </w:rPr>
        <w:t>tability’ questions capture first the sustainability of the five basic common goods and thereafter the stability of justice, governance and agency freedom in the nexus.</w:t>
      </w:r>
    </w:p>
    <w:p w14:paraId="5FB8C2FB" w14:textId="49E6D461" w:rsidR="00CB3E45" w:rsidRPr="00A17D9B" w:rsidRDefault="006C7AD4" w:rsidP="008C4002">
      <w:pPr>
        <w:spacing w:before="120" w:after="0" w:line="320" w:lineRule="atLeast"/>
        <w:jc w:val="both"/>
        <w:rPr>
          <w:rFonts w:ascii="Garamond" w:hAnsi="Garamond"/>
          <w:noProof/>
          <w:sz w:val="24"/>
          <w:szCs w:val="24"/>
          <w:lang w:val="en-GB"/>
        </w:rPr>
      </w:pPr>
      <w:r w:rsidRPr="00A17D9B">
        <w:rPr>
          <w:rFonts w:ascii="Garamond" w:hAnsi="Garamond"/>
          <w:noProof/>
          <w:sz w:val="24"/>
          <w:szCs w:val="24"/>
          <w:lang w:val="en-GB"/>
        </w:rPr>
        <w:t>‘</w:t>
      </w:r>
      <w:r w:rsidR="00CB3E45" w:rsidRPr="00A17D9B">
        <w:rPr>
          <w:rFonts w:ascii="Garamond" w:hAnsi="Garamond"/>
          <w:noProof/>
          <w:sz w:val="24"/>
          <w:szCs w:val="24"/>
          <w:lang w:val="en-GB"/>
        </w:rPr>
        <w:t>Humanity</w:t>
      </w:r>
      <w:r w:rsidRPr="00A17D9B">
        <w:rPr>
          <w:rFonts w:ascii="Garamond" w:hAnsi="Garamond"/>
          <w:noProof/>
          <w:sz w:val="24"/>
          <w:szCs w:val="24"/>
          <w:lang w:val="en-GB"/>
        </w:rPr>
        <w:t>’</w:t>
      </w:r>
      <w:r w:rsidR="00CB3E45" w:rsidRPr="00A17D9B">
        <w:rPr>
          <w:rFonts w:ascii="Garamond" w:hAnsi="Garamond"/>
          <w:noProof/>
          <w:sz w:val="24"/>
          <w:szCs w:val="24"/>
          <w:lang w:val="en-GB"/>
        </w:rPr>
        <w:t xml:space="preserve"> captures the systemic outcome of the nexus in terms of standard expectation of behavior. Here the questions inform</w:t>
      </w:r>
      <w:r w:rsidR="00A267FE" w:rsidRPr="00A17D9B">
        <w:rPr>
          <w:rFonts w:ascii="Garamond" w:hAnsi="Garamond"/>
          <w:noProof/>
          <w:sz w:val="24"/>
          <w:szCs w:val="24"/>
          <w:lang w:val="en-GB"/>
        </w:rPr>
        <w:t xml:space="preserve"> us</w:t>
      </w:r>
      <w:r w:rsidR="00CB3E45" w:rsidRPr="00A17D9B">
        <w:rPr>
          <w:rFonts w:ascii="Garamond" w:hAnsi="Garamond"/>
          <w:noProof/>
          <w:sz w:val="24"/>
          <w:szCs w:val="24"/>
          <w:lang w:val="en-GB"/>
        </w:rPr>
        <w:t xml:space="preserve"> about the six pair</w:t>
      </w:r>
      <w:r w:rsidR="00A267FE" w:rsidRPr="00A17D9B">
        <w:rPr>
          <w:rFonts w:ascii="Garamond" w:hAnsi="Garamond"/>
          <w:noProof/>
          <w:sz w:val="24"/>
          <w:szCs w:val="24"/>
          <w:lang w:val="en-GB"/>
        </w:rPr>
        <w:t>s</w:t>
      </w:r>
      <w:r w:rsidR="00CB3E45" w:rsidRPr="00A17D9B">
        <w:rPr>
          <w:rFonts w:ascii="Garamond" w:hAnsi="Garamond"/>
          <w:noProof/>
          <w:sz w:val="24"/>
          <w:szCs w:val="24"/>
          <w:lang w:val="en-GB"/>
        </w:rPr>
        <w:t xml:space="preserve"> of </w:t>
      </w:r>
      <w:r w:rsidRPr="00A17D9B">
        <w:rPr>
          <w:rFonts w:ascii="Garamond" w:hAnsi="Garamond"/>
          <w:noProof/>
          <w:sz w:val="24"/>
          <w:szCs w:val="24"/>
          <w:lang w:val="en-GB"/>
        </w:rPr>
        <w:t>core</w:t>
      </w:r>
      <w:r w:rsidR="00CB3E45" w:rsidRPr="00A17D9B">
        <w:rPr>
          <w:rFonts w:ascii="Garamond" w:hAnsi="Garamond"/>
          <w:noProof/>
          <w:sz w:val="24"/>
          <w:szCs w:val="24"/>
          <w:lang w:val="en-GB"/>
        </w:rPr>
        <w:t xml:space="preserve"> habitus described in the previous section. It is important to remember that they capture not individual </w:t>
      </w:r>
      <w:r w:rsidRPr="00A17D9B">
        <w:rPr>
          <w:rFonts w:ascii="Garamond" w:hAnsi="Garamond"/>
          <w:sz w:val="24"/>
          <w:szCs w:val="24"/>
          <w:lang w:val="en-GB"/>
        </w:rPr>
        <w:t>behaviours</w:t>
      </w:r>
      <w:r w:rsidR="00CB3E45" w:rsidRPr="00A17D9B">
        <w:rPr>
          <w:rFonts w:ascii="Garamond" w:hAnsi="Garamond"/>
          <w:noProof/>
          <w:sz w:val="24"/>
          <w:szCs w:val="24"/>
          <w:lang w:val="en-GB"/>
        </w:rPr>
        <w:t xml:space="preserve"> but </w:t>
      </w:r>
      <w:r w:rsidR="008C4002" w:rsidRPr="00A17D9B">
        <w:rPr>
          <w:rFonts w:ascii="Garamond" w:hAnsi="Garamond"/>
          <w:noProof/>
          <w:sz w:val="24"/>
          <w:szCs w:val="24"/>
          <w:lang w:val="en-GB"/>
        </w:rPr>
        <w:t xml:space="preserve">the </w:t>
      </w:r>
      <w:r w:rsidRPr="00A17D9B">
        <w:rPr>
          <w:rFonts w:ascii="Garamond" w:hAnsi="Garamond"/>
          <w:noProof/>
          <w:sz w:val="24"/>
          <w:szCs w:val="24"/>
          <w:lang w:val="en-GB"/>
        </w:rPr>
        <w:t>‘</w:t>
      </w:r>
      <w:r w:rsidR="008C4002" w:rsidRPr="00A17D9B">
        <w:rPr>
          <w:rFonts w:ascii="Garamond" w:hAnsi="Garamond"/>
          <w:noProof/>
          <w:sz w:val="24"/>
          <w:szCs w:val="24"/>
          <w:lang w:val="en-GB"/>
        </w:rPr>
        <w:t xml:space="preserve">standard </w:t>
      </w:r>
      <w:r w:rsidRPr="00A17D9B">
        <w:rPr>
          <w:rFonts w:ascii="Garamond" w:hAnsi="Garamond"/>
          <w:noProof/>
          <w:sz w:val="24"/>
          <w:szCs w:val="24"/>
          <w:lang w:val="en-GB"/>
        </w:rPr>
        <w:t>expectation of behaviours’</w:t>
      </w:r>
      <w:r w:rsidR="008C4002" w:rsidRPr="00A17D9B">
        <w:rPr>
          <w:rFonts w:ascii="Garamond" w:hAnsi="Garamond"/>
          <w:noProof/>
          <w:sz w:val="24"/>
          <w:szCs w:val="24"/>
          <w:lang w:val="en-GB"/>
        </w:rPr>
        <w:t xml:space="preserve"> other</w:t>
      </w:r>
      <w:r w:rsidR="00A267FE" w:rsidRPr="00A17D9B">
        <w:rPr>
          <w:rFonts w:ascii="Garamond" w:hAnsi="Garamond"/>
          <w:noProof/>
          <w:sz w:val="24"/>
          <w:szCs w:val="24"/>
          <w:lang w:val="en-GB"/>
        </w:rPr>
        <w:t>s</w:t>
      </w:r>
      <w:r w:rsidR="008C4002" w:rsidRPr="00A17D9B">
        <w:rPr>
          <w:rFonts w:ascii="Garamond" w:hAnsi="Garamond"/>
          <w:noProof/>
          <w:sz w:val="24"/>
          <w:szCs w:val="24"/>
          <w:lang w:val="en-GB"/>
        </w:rPr>
        <w:t xml:space="preserve"> expect me to abide </w:t>
      </w:r>
      <w:r w:rsidR="00A267FE" w:rsidRPr="00A17D9B">
        <w:rPr>
          <w:rFonts w:ascii="Garamond" w:hAnsi="Garamond"/>
          <w:noProof/>
          <w:sz w:val="24"/>
          <w:szCs w:val="24"/>
          <w:lang w:val="en-GB"/>
        </w:rPr>
        <w:t>by</w:t>
      </w:r>
      <w:r w:rsidRPr="00A17D9B">
        <w:rPr>
          <w:rFonts w:ascii="Garamond" w:hAnsi="Garamond"/>
          <w:noProof/>
          <w:sz w:val="24"/>
          <w:szCs w:val="24"/>
          <w:lang w:val="en-GB"/>
        </w:rPr>
        <w:t xml:space="preserve"> </w:t>
      </w:r>
      <w:r w:rsidR="008C4002" w:rsidRPr="00A17D9B">
        <w:rPr>
          <w:rFonts w:ascii="Garamond" w:hAnsi="Garamond"/>
          <w:noProof/>
          <w:sz w:val="24"/>
          <w:szCs w:val="24"/>
          <w:lang w:val="en-GB"/>
        </w:rPr>
        <w:t xml:space="preserve">in my </w:t>
      </w:r>
      <w:r w:rsidR="00A267FE" w:rsidRPr="00A17D9B">
        <w:rPr>
          <w:rFonts w:ascii="Garamond" w:hAnsi="Garamond"/>
          <w:noProof/>
          <w:sz w:val="24"/>
          <w:szCs w:val="24"/>
          <w:lang w:val="en-GB"/>
        </w:rPr>
        <w:t>actions. The questions here solely</w:t>
      </w:r>
      <w:r w:rsidR="008C4002" w:rsidRPr="00A17D9B">
        <w:rPr>
          <w:rFonts w:ascii="Garamond" w:hAnsi="Garamond"/>
          <w:noProof/>
          <w:sz w:val="24"/>
          <w:szCs w:val="24"/>
          <w:lang w:val="en-GB"/>
        </w:rPr>
        <w:t xml:space="preserve"> try to identify the existence and strength of the six pair</w:t>
      </w:r>
      <w:r w:rsidR="00A267FE" w:rsidRPr="00A17D9B">
        <w:rPr>
          <w:rFonts w:ascii="Garamond" w:hAnsi="Garamond"/>
          <w:noProof/>
          <w:sz w:val="24"/>
          <w:szCs w:val="24"/>
          <w:lang w:val="en-GB"/>
        </w:rPr>
        <w:t>s</w:t>
      </w:r>
      <w:r w:rsidR="008C4002" w:rsidRPr="00A17D9B">
        <w:rPr>
          <w:rFonts w:ascii="Garamond" w:hAnsi="Garamond"/>
          <w:noProof/>
          <w:sz w:val="24"/>
          <w:szCs w:val="24"/>
          <w:lang w:val="en-GB"/>
        </w:rPr>
        <w:t xml:space="preserve"> of social habits in </w:t>
      </w:r>
      <w:r w:rsidR="008C4002" w:rsidRPr="00A17D9B">
        <w:rPr>
          <w:rFonts w:ascii="Garamond" w:hAnsi="Garamond"/>
          <w:noProof/>
          <w:sz w:val="24"/>
          <w:szCs w:val="24"/>
          <w:lang w:val="en-GB"/>
        </w:rPr>
        <w:lastRenderedPageBreak/>
        <w:t>the population. As systemic outcome of a common good dynamic</w:t>
      </w:r>
      <w:r w:rsidR="00A267FE" w:rsidRPr="00A17D9B">
        <w:rPr>
          <w:rFonts w:ascii="Garamond" w:hAnsi="Garamond"/>
          <w:noProof/>
          <w:sz w:val="24"/>
          <w:szCs w:val="24"/>
          <w:lang w:val="en-GB"/>
        </w:rPr>
        <w:t>,</w:t>
      </w:r>
      <w:r w:rsidR="008C4002" w:rsidRPr="00A17D9B">
        <w:rPr>
          <w:rFonts w:ascii="Garamond" w:hAnsi="Garamond"/>
          <w:noProof/>
          <w:sz w:val="24"/>
          <w:szCs w:val="24"/>
          <w:lang w:val="en-GB"/>
        </w:rPr>
        <w:t xml:space="preserve"> these scores should be related to the strength and coherence of the four other key drivers. </w:t>
      </w:r>
    </w:p>
    <w:p w14:paraId="4F74E251" w14:textId="59521E70" w:rsidR="00983F4C" w:rsidRPr="00A17D9B" w:rsidRDefault="00357E17" w:rsidP="008C4002">
      <w:pPr>
        <w:spacing w:before="120" w:after="0" w:line="320" w:lineRule="atLeast"/>
        <w:jc w:val="both"/>
        <w:rPr>
          <w:rFonts w:ascii="Garamond" w:hAnsi="Garamond"/>
          <w:noProof/>
          <w:sz w:val="24"/>
          <w:szCs w:val="24"/>
          <w:lang w:val="en-GB"/>
        </w:rPr>
      </w:pPr>
      <w:r w:rsidRPr="00A17D9B">
        <w:rPr>
          <w:rFonts w:ascii="Garamond" w:hAnsi="Garamond"/>
          <w:noProof/>
          <w:sz w:val="24"/>
          <w:szCs w:val="24"/>
          <w:lang w:val="en-GB"/>
        </w:rPr>
        <w:t>For each question, we specify the inform</w:t>
      </w:r>
      <w:r w:rsidR="00924B58" w:rsidRPr="00A17D9B">
        <w:rPr>
          <w:rFonts w:ascii="Garamond" w:hAnsi="Garamond"/>
          <w:noProof/>
          <w:sz w:val="24"/>
          <w:szCs w:val="24"/>
          <w:lang w:val="en-GB"/>
        </w:rPr>
        <w:t>ation we are tryin</w:t>
      </w:r>
      <w:r w:rsidRPr="00A17D9B">
        <w:rPr>
          <w:rFonts w:ascii="Garamond" w:hAnsi="Garamond"/>
          <w:noProof/>
          <w:sz w:val="24"/>
          <w:szCs w:val="24"/>
          <w:lang w:val="en-GB"/>
        </w:rPr>
        <w:t xml:space="preserve">g to capture and some </w:t>
      </w:r>
      <w:r w:rsidR="005F117C" w:rsidRPr="00A17D9B">
        <w:rPr>
          <w:rFonts w:ascii="Garamond" w:hAnsi="Garamond"/>
          <w:noProof/>
          <w:sz w:val="24"/>
          <w:szCs w:val="24"/>
          <w:lang w:val="en-GB"/>
        </w:rPr>
        <w:t>quantitative data that may help contrast the answer we get. The question</w:t>
      </w:r>
      <w:r w:rsidR="00924B58" w:rsidRPr="00A17D9B">
        <w:rPr>
          <w:rFonts w:ascii="Garamond" w:hAnsi="Garamond"/>
          <w:noProof/>
          <w:sz w:val="24"/>
          <w:szCs w:val="24"/>
          <w:lang w:val="en-GB"/>
        </w:rPr>
        <w:t>s are drafted in such a way that they</w:t>
      </w:r>
      <w:r w:rsidR="005F117C" w:rsidRPr="00A17D9B">
        <w:rPr>
          <w:rFonts w:ascii="Garamond" w:hAnsi="Garamond"/>
          <w:noProof/>
          <w:sz w:val="24"/>
          <w:szCs w:val="24"/>
          <w:lang w:val="en-GB"/>
        </w:rPr>
        <w:t xml:space="preserve"> </w:t>
      </w:r>
      <w:r w:rsidR="00357404" w:rsidRPr="00A17D9B">
        <w:rPr>
          <w:rFonts w:ascii="Garamond" w:hAnsi="Garamond"/>
          <w:noProof/>
          <w:sz w:val="24"/>
          <w:szCs w:val="24"/>
          <w:lang w:val="en-GB"/>
        </w:rPr>
        <w:t>capture the perception of an individual regarding</w:t>
      </w:r>
      <w:r w:rsidR="005F117C" w:rsidRPr="00A17D9B">
        <w:rPr>
          <w:rFonts w:ascii="Garamond" w:hAnsi="Garamond"/>
          <w:noProof/>
          <w:sz w:val="24"/>
          <w:szCs w:val="24"/>
          <w:lang w:val="en-GB"/>
        </w:rPr>
        <w:t xml:space="preserve"> a social phenomenon. All question</w:t>
      </w:r>
      <w:r w:rsidR="00F5766D" w:rsidRPr="00A17D9B">
        <w:rPr>
          <w:rFonts w:ascii="Garamond" w:hAnsi="Garamond"/>
          <w:noProof/>
          <w:sz w:val="24"/>
          <w:szCs w:val="24"/>
          <w:lang w:val="en-GB"/>
        </w:rPr>
        <w:t>s,</w:t>
      </w:r>
      <w:r w:rsidR="005F117C" w:rsidRPr="00A17D9B">
        <w:rPr>
          <w:rFonts w:ascii="Garamond" w:hAnsi="Garamond"/>
          <w:noProof/>
          <w:sz w:val="24"/>
          <w:szCs w:val="24"/>
          <w:lang w:val="en-GB"/>
        </w:rPr>
        <w:t xml:space="preserve"> for example</w:t>
      </w:r>
      <w:r w:rsidR="00F5766D" w:rsidRPr="00A17D9B">
        <w:rPr>
          <w:rFonts w:ascii="Garamond" w:hAnsi="Garamond"/>
          <w:noProof/>
          <w:sz w:val="24"/>
          <w:szCs w:val="24"/>
          <w:lang w:val="en-GB"/>
        </w:rPr>
        <w:t>,</w:t>
      </w:r>
      <w:r w:rsidR="005F117C" w:rsidRPr="00A17D9B">
        <w:rPr>
          <w:rFonts w:ascii="Garamond" w:hAnsi="Garamond"/>
          <w:noProof/>
          <w:sz w:val="24"/>
          <w:szCs w:val="24"/>
          <w:lang w:val="en-GB"/>
        </w:rPr>
        <w:t xml:space="preserve"> ask the interviewee about some objective feature of the locality or community, trying </w:t>
      </w:r>
      <w:r w:rsidR="00F5766D" w:rsidRPr="00A17D9B">
        <w:rPr>
          <w:rFonts w:ascii="Garamond" w:hAnsi="Garamond"/>
          <w:noProof/>
          <w:sz w:val="24"/>
          <w:szCs w:val="24"/>
          <w:lang w:val="en-GB"/>
        </w:rPr>
        <w:t xml:space="preserve">not to capture </w:t>
      </w:r>
      <w:r w:rsidR="005F117C" w:rsidRPr="00A17D9B">
        <w:rPr>
          <w:rFonts w:ascii="Garamond" w:hAnsi="Garamond"/>
          <w:noProof/>
          <w:sz w:val="24"/>
          <w:szCs w:val="24"/>
          <w:lang w:val="en-GB"/>
        </w:rPr>
        <w:t xml:space="preserve">an individual </w:t>
      </w:r>
      <w:r w:rsidR="006C7AD4" w:rsidRPr="00A17D9B">
        <w:rPr>
          <w:rFonts w:ascii="Garamond" w:hAnsi="Garamond"/>
          <w:noProof/>
          <w:sz w:val="24"/>
          <w:szCs w:val="24"/>
          <w:lang w:val="en-GB"/>
        </w:rPr>
        <w:t>opinion</w:t>
      </w:r>
      <w:r w:rsidR="005F117C" w:rsidRPr="00A17D9B">
        <w:rPr>
          <w:rFonts w:ascii="Garamond" w:hAnsi="Garamond"/>
          <w:noProof/>
          <w:sz w:val="24"/>
          <w:szCs w:val="24"/>
          <w:lang w:val="en-GB"/>
        </w:rPr>
        <w:t>, but the way people in the locality usually perc</w:t>
      </w:r>
      <w:r w:rsidR="00F5766D" w:rsidRPr="00A17D9B">
        <w:rPr>
          <w:rFonts w:ascii="Garamond" w:hAnsi="Garamond"/>
          <w:noProof/>
          <w:sz w:val="24"/>
          <w:szCs w:val="24"/>
          <w:lang w:val="en-GB"/>
        </w:rPr>
        <w:t xml:space="preserve">eive this reality aside </w:t>
      </w:r>
      <w:r w:rsidR="005F117C" w:rsidRPr="00A17D9B">
        <w:rPr>
          <w:rFonts w:ascii="Garamond" w:hAnsi="Garamond"/>
          <w:noProof/>
          <w:sz w:val="24"/>
          <w:szCs w:val="24"/>
          <w:lang w:val="en-GB"/>
        </w:rPr>
        <w:t xml:space="preserve">from the </w:t>
      </w:r>
      <w:r w:rsidR="00046941" w:rsidRPr="00A17D9B">
        <w:rPr>
          <w:rFonts w:ascii="Garamond" w:hAnsi="Garamond"/>
          <w:noProof/>
          <w:sz w:val="24"/>
          <w:szCs w:val="24"/>
          <w:lang w:val="en-GB"/>
        </w:rPr>
        <w:t>interviewee’s</w:t>
      </w:r>
      <w:r w:rsidR="005F117C" w:rsidRPr="00A17D9B">
        <w:rPr>
          <w:rFonts w:ascii="Garamond" w:hAnsi="Garamond"/>
          <w:noProof/>
          <w:sz w:val="24"/>
          <w:szCs w:val="24"/>
          <w:lang w:val="en-GB"/>
        </w:rPr>
        <w:t xml:space="preserve"> own position on the matter. The metric is qualit</w:t>
      </w:r>
      <w:r w:rsidR="00810AD0" w:rsidRPr="00A17D9B">
        <w:rPr>
          <w:rFonts w:ascii="Garamond" w:hAnsi="Garamond"/>
          <w:noProof/>
          <w:sz w:val="24"/>
          <w:szCs w:val="24"/>
          <w:lang w:val="en-GB"/>
        </w:rPr>
        <w:t>at</w:t>
      </w:r>
      <w:r w:rsidR="005F117C" w:rsidRPr="00A17D9B">
        <w:rPr>
          <w:rFonts w:ascii="Garamond" w:hAnsi="Garamond"/>
          <w:noProof/>
          <w:sz w:val="24"/>
          <w:szCs w:val="24"/>
          <w:lang w:val="en-GB"/>
        </w:rPr>
        <w:t xml:space="preserve">ive </w:t>
      </w:r>
      <w:r w:rsidR="00810AD0" w:rsidRPr="00A17D9B">
        <w:rPr>
          <w:rFonts w:ascii="Garamond" w:hAnsi="Garamond"/>
          <w:noProof/>
          <w:sz w:val="24"/>
          <w:szCs w:val="24"/>
          <w:lang w:val="en-GB"/>
        </w:rPr>
        <w:t>in nature</w:t>
      </w:r>
      <w:r w:rsidR="00046941" w:rsidRPr="00A17D9B">
        <w:rPr>
          <w:rFonts w:ascii="Garamond" w:hAnsi="Garamond"/>
          <w:noProof/>
          <w:sz w:val="24"/>
          <w:szCs w:val="24"/>
          <w:lang w:val="en-GB"/>
        </w:rPr>
        <w:t xml:space="preserve"> and prone to the usual perception biases linked to that sort of approaches. The careful redaction of questions, statistical methods of verification and the use of contrast </w:t>
      </w:r>
      <w:r w:rsidR="006C7AD4" w:rsidRPr="00A17D9B">
        <w:rPr>
          <w:rFonts w:ascii="Garamond" w:hAnsi="Garamond"/>
          <w:noProof/>
          <w:sz w:val="24"/>
          <w:szCs w:val="24"/>
          <w:lang w:val="en-GB"/>
        </w:rPr>
        <w:t xml:space="preserve">quantitative </w:t>
      </w:r>
      <w:r w:rsidR="00046941" w:rsidRPr="00A17D9B">
        <w:rPr>
          <w:rFonts w:ascii="Garamond" w:hAnsi="Garamond"/>
          <w:noProof/>
          <w:sz w:val="24"/>
          <w:szCs w:val="24"/>
          <w:lang w:val="en-GB"/>
        </w:rPr>
        <w:t>data will mitigate the difficulty without fully resolving it. The unit of reference, as said before, is the municipality. However, as this is a</w:t>
      </w:r>
      <w:r w:rsidR="00810AD0" w:rsidRPr="00A17D9B">
        <w:rPr>
          <w:rFonts w:ascii="Garamond" w:hAnsi="Garamond"/>
          <w:noProof/>
          <w:sz w:val="24"/>
          <w:szCs w:val="24"/>
          <w:lang w:val="en-GB"/>
        </w:rPr>
        <w:t>n</w:t>
      </w:r>
      <w:r w:rsidR="00046941" w:rsidRPr="00A17D9B">
        <w:rPr>
          <w:rFonts w:ascii="Garamond" w:hAnsi="Garamond"/>
          <w:noProof/>
          <w:sz w:val="24"/>
          <w:szCs w:val="24"/>
          <w:lang w:val="en-GB"/>
        </w:rPr>
        <w:t xml:space="preserve"> administrative </w:t>
      </w:r>
      <w:r w:rsidR="00983F4C" w:rsidRPr="00A17D9B">
        <w:rPr>
          <w:rFonts w:ascii="Garamond" w:hAnsi="Garamond"/>
          <w:noProof/>
          <w:sz w:val="24"/>
          <w:szCs w:val="24"/>
          <w:lang w:val="en-GB"/>
        </w:rPr>
        <w:t xml:space="preserve">unit, we have settled for the terms </w:t>
      </w:r>
      <w:r w:rsidR="00983F4C" w:rsidRPr="00A17D9B">
        <w:rPr>
          <w:rFonts w:ascii="Garamond" w:hAnsi="Garamond"/>
          <w:i/>
          <w:iCs/>
          <w:noProof/>
          <w:sz w:val="24"/>
          <w:szCs w:val="24"/>
          <w:lang w:val="en-GB"/>
        </w:rPr>
        <w:t>locality</w:t>
      </w:r>
      <w:r w:rsidR="00983F4C" w:rsidRPr="00A17D9B">
        <w:rPr>
          <w:rFonts w:ascii="Garamond" w:hAnsi="Garamond"/>
          <w:noProof/>
          <w:sz w:val="24"/>
          <w:szCs w:val="24"/>
          <w:lang w:val="en-GB"/>
        </w:rPr>
        <w:t xml:space="preserve"> to refer to the ‘territory of reference’ by which people think</w:t>
      </w:r>
      <w:r w:rsidR="00810AD0" w:rsidRPr="00A17D9B">
        <w:rPr>
          <w:rFonts w:ascii="Garamond" w:hAnsi="Garamond"/>
          <w:noProof/>
          <w:sz w:val="24"/>
          <w:szCs w:val="24"/>
          <w:lang w:val="en-GB"/>
        </w:rPr>
        <w:t xml:space="preserve"> of</w:t>
      </w:r>
      <w:r w:rsidR="00983F4C" w:rsidRPr="00A17D9B">
        <w:rPr>
          <w:rFonts w:ascii="Garamond" w:hAnsi="Garamond"/>
          <w:noProof/>
          <w:sz w:val="24"/>
          <w:szCs w:val="24"/>
          <w:lang w:val="en-GB"/>
        </w:rPr>
        <w:t xml:space="preserve"> their local setting and </w:t>
      </w:r>
      <w:r w:rsidR="00983F4C" w:rsidRPr="00A17D9B">
        <w:rPr>
          <w:rFonts w:ascii="Garamond" w:hAnsi="Garamond"/>
          <w:i/>
          <w:iCs/>
          <w:noProof/>
          <w:sz w:val="24"/>
          <w:szCs w:val="24"/>
          <w:lang w:val="en-GB"/>
        </w:rPr>
        <w:t xml:space="preserve">community </w:t>
      </w:r>
      <w:r w:rsidR="00983F4C" w:rsidRPr="00A17D9B">
        <w:rPr>
          <w:rFonts w:ascii="Garamond" w:hAnsi="Garamond"/>
          <w:noProof/>
          <w:sz w:val="24"/>
          <w:szCs w:val="24"/>
          <w:lang w:val="en-GB"/>
        </w:rPr>
        <w:t>to adduce to the usual relationships shaping their lives. As the data are geo-localized, we can then reconstruct the dispersion of results and capture</w:t>
      </w:r>
      <w:r w:rsidR="00810AD0" w:rsidRPr="00A17D9B">
        <w:rPr>
          <w:rFonts w:ascii="Garamond" w:hAnsi="Garamond"/>
          <w:noProof/>
          <w:sz w:val="24"/>
          <w:szCs w:val="24"/>
          <w:lang w:val="en-GB"/>
        </w:rPr>
        <w:t xml:space="preserve"> local difference </w:t>
      </w:r>
      <w:r w:rsidR="00537282" w:rsidRPr="00A17D9B">
        <w:rPr>
          <w:rFonts w:ascii="Garamond" w:hAnsi="Garamond"/>
          <w:noProof/>
          <w:sz w:val="24"/>
          <w:szCs w:val="24"/>
          <w:lang w:val="en-GB"/>
        </w:rPr>
        <w:t xml:space="preserve">within </w:t>
      </w:r>
      <w:r w:rsidR="00810AD0" w:rsidRPr="00A17D9B">
        <w:rPr>
          <w:rFonts w:ascii="Garamond" w:hAnsi="Garamond"/>
          <w:noProof/>
          <w:sz w:val="24"/>
          <w:szCs w:val="24"/>
          <w:lang w:val="en-GB"/>
        </w:rPr>
        <w:t>the same municipality</w:t>
      </w:r>
      <w:r w:rsidR="00983F4C" w:rsidRPr="00A17D9B">
        <w:rPr>
          <w:rFonts w:ascii="Garamond" w:hAnsi="Garamond"/>
          <w:noProof/>
          <w:sz w:val="24"/>
          <w:szCs w:val="24"/>
          <w:lang w:val="en-GB"/>
        </w:rPr>
        <w:t xml:space="preserve">. </w:t>
      </w:r>
    </w:p>
    <w:p w14:paraId="27D5CC9B" w14:textId="0AB4EEEF" w:rsidR="00CD347F" w:rsidRPr="00A17D9B" w:rsidRDefault="00983F4C" w:rsidP="008C4002">
      <w:pPr>
        <w:spacing w:before="120" w:after="0" w:line="320" w:lineRule="atLeast"/>
        <w:jc w:val="both"/>
        <w:rPr>
          <w:rFonts w:ascii="Garamond" w:hAnsi="Garamond"/>
          <w:noProof/>
          <w:sz w:val="24"/>
          <w:szCs w:val="24"/>
          <w:lang w:val="en-GB"/>
        </w:rPr>
      </w:pPr>
      <w:r w:rsidRPr="00A17D9B">
        <w:rPr>
          <w:rFonts w:ascii="Garamond" w:hAnsi="Garamond"/>
          <w:noProof/>
          <w:sz w:val="24"/>
          <w:szCs w:val="24"/>
          <w:lang w:val="en-GB"/>
        </w:rPr>
        <w:t xml:space="preserve">We took </w:t>
      </w:r>
      <w:r w:rsidR="00810AD0" w:rsidRPr="00A17D9B">
        <w:rPr>
          <w:rFonts w:ascii="Garamond" w:hAnsi="Garamond"/>
          <w:noProof/>
          <w:sz w:val="24"/>
          <w:szCs w:val="24"/>
          <w:lang w:val="en-GB"/>
        </w:rPr>
        <w:t>great care to adapt the wording</w:t>
      </w:r>
      <w:r w:rsidRPr="00A17D9B">
        <w:rPr>
          <w:rFonts w:ascii="Garamond" w:hAnsi="Garamond"/>
          <w:noProof/>
          <w:sz w:val="24"/>
          <w:szCs w:val="24"/>
          <w:lang w:val="en-GB"/>
        </w:rPr>
        <w:t xml:space="preserve"> of the questions in order to be understood by each one in a municipality</w:t>
      </w:r>
      <w:r w:rsidR="004E42FE" w:rsidRPr="00A17D9B">
        <w:rPr>
          <w:rFonts w:ascii="Garamond" w:hAnsi="Garamond"/>
          <w:noProof/>
          <w:sz w:val="24"/>
          <w:szCs w:val="24"/>
          <w:lang w:val="en-GB"/>
        </w:rPr>
        <w:t>, whatever the social status and</w:t>
      </w:r>
      <w:r w:rsidR="006C7AD4" w:rsidRPr="00A17D9B">
        <w:rPr>
          <w:rFonts w:ascii="Garamond" w:hAnsi="Garamond"/>
          <w:noProof/>
          <w:sz w:val="24"/>
          <w:szCs w:val="24"/>
          <w:lang w:val="en-GB"/>
        </w:rPr>
        <w:t xml:space="preserve"> level of</w:t>
      </w:r>
      <w:r w:rsidR="004E42FE" w:rsidRPr="00A17D9B">
        <w:rPr>
          <w:rFonts w:ascii="Garamond" w:hAnsi="Garamond"/>
          <w:noProof/>
          <w:sz w:val="24"/>
          <w:szCs w:val="24"/>
          <w:lang w:val="en-GB"/>
        </w:rPr>
        <w:t xml:space="preserve"> literacy. </w:t>
      </w:r>
      <w:r w:rsidR="00537282" w:rsidRPr="00A17D9B">
        <w:rPr>
          <w:rFonts w:ascii="Garamond" w:hAnsi="Garamond"/>
          <w:noProof/>
          <w:sz w:val="24"/>
          <w:szCs w:val="24"/>
          <w:lang w:val="en-GB"/>
        </w:rPr>
        <w:t>We avoided c</w:t>
      </w:r>
      <w:r w:rsidR="004E42FE" w:rsidRPr="00A17D9B">
        <w:rPr>
          <w:rFonts w:ascii="Garamond" w:hAnsi="Garamond"/>
          <w:noProof/>
          <w:sz w:val="24"/>
          <w:szCs w:val="24"/>
          <w:lang w:val="en-GB"/>
        </w:rPr>
        <w:t>onceptual terms</w:t>
      </w:r>
      <w:r w:rsidR="00537282" w:rsidRPr="00A17D9B">
        <w:rPr>
          <w:rFonts w:ascii="Garamond" w:hAnsi="Garamond"/>
          <w:noProof/>
          <w:sz w:val="24"/>
          <w:szCs w:val="24"/>
          <w:lang w:val="en-GB"/>
        </w:rPr>
        <w:t>,</w:t>
      </w:r>
      <w:r w:rsidR="004E42FE" w:rsidRPr="00A17D9B">
        <w:rPr>
          <w:rFonts w:ascii="Garamond" w:hAnsi="Garamond"/>
          <w:noProof/>
          <w:sz w:val="24"/>
          <w:szCs w:val="24"/>
          <w:lang w:val="en-GB"/>
        </w:rPr>
        <w:t xml:space="preserve"> </w:t>
      </w:r>
      <w:r w:rsidR="00537282" w:rsidRPr="00A17D9B">
        <w:rPr>
          <w:rFonts w:ascii="Garamond" w:hAnsi="Garamond"/>
          <w:noProof/>
          <w:sz w:val="24"/>
          <w:szCs w:val="24"/>
          <w:lang w:val="en-GB"/>
        </w:rPr>
        <w:t xml:space="preserve">using </w:t>
      </w:r>
      <w:r w:rsidR="004E42FE" w:rsidRPr="00A17D9B">
        <w:rPr>
          <w:rFonts w:ascii="Garamond" w:hAnsi="Garamond"/>
          <w:noProof/>
          <w:sz w:val="24"/>
          <w:szCs w:val="24"/>
          <w:lang w:val="en-GB"/>
        </w:rPr>
        <w:t>local expression</w:t>
      </w:r>
      <w:r w:rsidR="00810AD0" w:rsidRPr="00A17D9B">
        <w:rPr>
          <w:rFonts w:ascii="Garamond" w:hAnsi="Garamond"/>
          <w:noProof/>
          <w:sz w:val="24"/>
          <w:szCs w:val="24"/>
          <w:lang w:val="en-GB"/>
        </w:rPr>
        <w:t>s</w:t>
      </w:r>
      <w:r w:rsidR="004E42FE" w:rsidRPr="00A17D9B">
        <w:rPr>
          <w:rFonts w:ascii="Garamond" w:hAnsi="Garamond"/>
          <w:noProof/>
          <w:sz w:val="24"/>
          <w:szCs w:val="24"/>
          <w:lang w:val="en-GB"/>
        </w:rPr>
        <w:t xml:space="preserve"> whenever necessary</w:t>
      </w:r>
      <w:r w:rsidR="00810AD0" w:rsidRPr="00A17D9B">
        <w:rPr>
          <w:rFonts w:ascii="Garamond" w:hAnsi="Garamond"/>
          <w:noProof/>
          <w:sz w:val="24"/>
          <w:szCs w:val="24"/>
          <w:lang w:val="en-GB"/>
        </w:rPr>
        <w:t>,</w:t>
      </w:r>
      <w:r w:rsidR="004E42FE" w:rsidRPr="00A17D9B">
        <w:rPr>
          <w:rFonts w:ascii="Garamond" w:hAnsi="Garamond"/>
          <w:noProof/>
          <w:sz w:val="24"/>
          <w:szCs w:val="24"/>
          <w:lang w:val="en-GB"/>
        </w:rPr>
        <w:t xml:space="preserve"> we settled for local proxies to grasp complex institutional arrangement</w:t>
      </w:r>
      <w:r w:rsidR="006C7AD4" w:rsidRPr="00A17D9B">
        <w:rPr>
          <w:rFonts w:ascii="Garamond" w:hAnsi="Garamond"/>
          <w:noProof/>
          <w:sz w:val="24"/>
          <w:szCs w:val="24"/>
          <w:lang w:val="en-GB"/>
        </w:rPr>
        <w:t>s</w:t>
      </w:r>
      <w:r w:rsidR="004E42FE" w:rsidRPr="00A17D9B">
        <w:rPr>
          <w:rFonts w:ascii="Garamond" w:hAnsi="Garamond"/>
          <w:noProof/>
          <w:sz w:val="24"/>
          <w:szCs w:val="24"/>
          <w:lang w:val="en-GB"/>
        </w:rPr>
        <w:t>. For exampl</w:t>
      </w:r>
      <w:r w:rsidR="00810AD0" w:rsidRPr="00A17D9B">
        <w:rPr>
          <w:rFonts w:ascii="Garamond" w:hAnsi="Garamond"/>
          <w:noProof/>
          <w:sz w:val="24"/>
          <w:szCs w:val="24"/>
          <w:lang w:val="en-GB"/>
        </w:rPr>
        <w:t>e, we avoided using</w:t>
      </w:r>
      <w:r w:rsidR="004E42FE" w:rsidRPr="00A17D9B">
        <w:rPr>
          <w:rFonts w:ascii="Garamond" w:hAnsi="Garamond"/>
          <w:noProof/>
          <w:sz w:val="24"/>
          <w:szCs w:val="24"/>
          <w:lang w:val="en-GB"/>
        </w:rPr>
        <w:t xml:space="preserve"> t</w:t>
      </w:r>
      <w:r w:rsidR="00810AD0" w:rsidRPr="00A17D9B">
        <w:rPr>
          <w:rFonts w:ascii="Garamond" w:hAnsi="Garamond"/>
          <w:noProof/>
          <w:sz w:val="24"/>
          <w:szCs w:val="24"/>
          <w:lang w:val="en-GB"/>
        </w:rPr>
        <w:t xml:space="preserve">he term ‘rule of law’ since its </w:t>
      </w:r>
      <w:r w:rsidR="004E42FE" w:rsidRPr="00A17D9B">
        <w:rPr>
          <w:rFonts w:ascii="Garamond" w:hAnsi="Garamond"/>
          <w:noProof/>
          <w:sz w:val="24"/>
          <w:szCs w:val="24"/>
          <w:lang w:val="en-GB"/>
        </w:rPr>
        <w:t xml:space="preserve">too abstract </w:t>
      </w:r>
      <w:r w:rsidR="006C7AD4" w:rsidRPr="00A17D9B">
        <w:rPr>
          <w:rFonts w:ascii="Garamond" w:hAnsi="Garamond"/>
          <w:noProof/>
          <w:sz w:val="24"/>
          <w:szCs w:val="24"/>
          <w:lang w:val="en-GB"/>
        </w:rPr>
        <w:t>and</w:t>
      </w:r>
      <w:r w:rsidR="004E42FE" w:rsidRPr="00A17D9B">
        <w:rPr>
          <w:rFonts w:ascii="Garamond" w:hAnsi="Garamond"/>
          <w:noProof/>
          <w:sz w:val="24"/>
          <w:szCs w:val="24"/>
          <w:lang w:val="en-GB"/>
        </w:rPr>
        <w:t xml:space="preserve"> settled for the ‘police’s behavior’ and the ‘behavior of the local administration’ to learn about rule of law at the local level. Another example </w:t>
      </w:r>
      <w:r w:rsidR="00613575" w:rsidRPr="00A17D9B">
        <w:rPr>
          <w:rFonts w:ascii="Garamond" w:hAnsi="Garamond"/>
          <w:noProof/>
          <w:sz w:val="24"/>
          <w:szCs w:val="24"/>
          <w:lang w:val="en-GB"/>
        </w:rPr>
        <w:t>is ‘public space’. The concept is not cu</w:t>
      </w:r>
      <w:r w:rsidR="00810AD0" w:rsidRPr="00A17D9B">
        <w:rPr>
          <w:rFonts w:ascii="Garamond" w:hAnsi="Garamond"/>
          <w:noProof/>
          <w:sz w:val="24"/>
          <w:szCs w:val="24"/>
          <w:lang w:val="en-GB"/>
        </w:rPr>
        <w:t>lturally transposable since</w:t>
      </w:r>
      <w:r w:rsidR="00613575" w:rsidRPr="00A17D9B">
        <w:rPr>
          <w:rFonts w:ascii="Garamond" w:hAnsi="Garamond"/>
          <w:noProof/>
          <w:sz w:val="24"/>
          <w:szCs w:val="24"/>
          <w:lang w:val="en-GB"/>
        </w:rPr>
        <w:t xml:space="preserve"> the boundaries between private and public space are not as strong </w:t>
      </w:r>
      <w:r w:rsidR="006C7AD4" w:rsidRPr="00A17D9B">
        <w:rPr>
          <w:rFonts w:ascii="Garamond" w:hAnsi="Garamond"/>
          <w:noProof/>
          <w:sz w:val="24"/>
          <w:szCs w:val="24"/>
          <w:lang w:val="en-GB"/>
        </w:rPr>
        <w:t xml:space="preserve">in Mexico </w:t>
      </w:r>
      <w:r w:rsidR="00613575" w:rsidRPr="00A17D9B">
        <w:rPr>
          <w:rFonts w:ascii="Garamond" w:hAnsi="Garamond"/>
          <w:noProof/>
          <w:sz w:val="24"/>
          <w:szCs w:val="24"/>
          <w:lang w:val="en-GB"/>
        </w:rPr>
        <w:t xml:space="preserve">as in </w:t>
      </w:r>
      <w:r w:rsidR="006C7AD4" w:rsidRPr="00A17D9B">
        <w:rPr>
          <w:rFonts w:ascii="Garamond" w:hAnsi="Garamond"/>
          <w:noProof/>
          <w:sz w:val="24"/>
          <w:szCs w:val="24"/>
          <w:lang w:val="en-GB"/>
        </w:rPr>
        <w:t xml:space="preserve">Anglo-Saxon </w:t>
      </w:r>
      <w:r w:rsidR="00613575" w:rsidRPr="00A17D9B">
        <w:rPr>
          <w:rFonts w:ascii="Garamond" w:hAnsi="Garamond"/>
          <w:noProof/>
          <w:sz w:val="24"/>
          <w:szCs w:val="24"/>
          <w:lang w:val="en-GB"/>
        </w:rPr>
        <w:t>countries. We settled then for questions asking</w:t>
      </w:r>
      <w:r w:rsidR="00810AD0" w:rsidRPr="00A17D9B">
        <w:rPr>
          <w:rFonts w:ascii="Garamond" w:hAnsi="Garamond"/>
          <w:noProof/>
          <w:sz w:val="24"/>
          <w:szCs w:val="24"/>
          <w:lang w:val="en-GB"/>
        </w:rPr>
        <w:t xml:space="preserve"> about</w:t>
      </w:r>
      <w:r w:rsidR="00613575" w:rsidRPr="00A17D9B">
        <w:rPr>
          <w:rFonts w:ascii="Garamond" w:hAnsi="Garamond"/>
          <w:noProof/>
          <w:sz w:val="24"/>
          <w:szCs w:val="24"/>
          <w:lang w:val="en-GB"/>
        </w:rPr>
        <w:t xml:space="preserve"> who </w:t>
      </w:r>
      <w:r w:rsidR="006C7AD4" w:rsidRPr="00A17D9B">
        <w:rPr>
          <w:rFonts w:ascii="Garamond" w:hAnsi="Garamond"/>
          <w:noProof/>
          <w:sz w:val="24"/>
          <w:szCs w:val="24"/>
          <w:lang w:val="en-GB"/>
        </w:rPr>
        <w:t xml:space="preserve">cares </w:t>
      </w:r>
      <w:r w:rsidR="00613575" w:rsidRPr="00A17D9B">
        <w:rPr>
          <w:rFonts w:ascii="Garamond" w:hAnsi="Garamond"/>
          <w:noProof/>
          <w:sz w:val="24"/>
          <w:szCs w:val="24"/>
          <w:lang w:val="en-GB"/>
        </w:rPr>
        <w:t xml:space="preserve">for a square or a road </w:t>
      </w:r>
      <w:r w:rsidR="006C7AD4" w:rsidRPr="00A17D9B">
        <w:rPr>
          <w:rFonts w:ascii="Garamond" w:hAnsi="Garamond"/>
          <w:noProof/>
          <w:sz w:val="24"/>
          <w:szCs w:val="24"/>
          <w:lang w:val="en-GB"/>
        </w:rPr>
        <w:t>in their locality</w:t>
      </w:r>
      <w:r w:rsidR="00613575" w:rsidRPr="00A17D9B">
        <w:rPr>
          <w:rFonts w:ascii="Garamond" w:hAnsi="Garamond"/>
          <w:noProof/>
          <w:sz w:val="24"/>
          <w:szCs w:val="24"/>
          <w:lang w:val="en-GB"/>
        </w:rPr>
        <w:t xml:space="preserve">.  </w:t>
      </w:r>
    </w:p>
    <w:p w14:paraId="089844BB" w14:textId="77DB817D" w:rsidR="003A0863" w:rsidRPr="00A17D9B" w:rsidRDefault="00810AD0" w:rsidP="007623CF">
      <w:pPr>
        <w:pStyle w:val="Ttulo1"/>
        <w:jc w:val="right"/>
        <w:rPr>
          <w:noProof/>
          <w:lang w:val="en-GB"/>
        </w:rPr>
      </w:pPr>
      <w:r w:rsidRPr="00A17D9B">
        <w:rPr>
          <w:noProof/>
          <w:lang w:val="en-GB"/>
        </w:rPr>
        <w:t>Interpretation of R</w:t>
      </w:r>
      <w:r w:rsidR="003A0863" w:rsidRPr="00A17D9B">
        <w:rPr>
          <w:noProof/>
          <w:lang w:val="en-GB"/>
        </w:rPr>
        <w:t>esults</w:t>
      </w:r>
    </w:p>
    <w:p w14:paraId="54917520" w14:textId="3027066F" w:rsidR="003A0863" w:rsidRPr="00A17D9B" w:rsidRDefault="00810AD0" w:rsidP="007623CF">
      <w:pPr>
        <w:pStyle w:val="Subttulo"/>
        <w:spacing w:before="120" w:after="0"/>
        <w:jc w:val="right"/>
        <w:rPr>
          <w:noProof/>
          <w:lang w:val="en-GB"/>
        </w:rPr>
      </w:pPr>
      <w:r w:rsidRPr="00A17D9B">
        <w:rPr>
          <w:noProof/>
          <w:lang w:val="en-GB"/>
        </w:rPr>
        <w:t>Scale of the Q</w:t>
      </w:r>
      <w:r w:rsidR="003A0863" w:rsidRPr="00A17D9B">
        <w:rPr>
          <w:noProof/>
          <w:lang w:val="en-GB"/>
        </w:rPr>
        <w:t>uestionnaire</w:t>
      </w:r>
    </w:p>
    <w:p w14:paraId="1AF83F9B" w14:textId="5803F5F1" w:rsidR="00440A25" w:rsidRPr="00A17D9B" w:rsidRDefault="002709E1" w:rsidP="006C7AD4">
      <w:pPr>
        <w:spacing w:before="120" w:after="0" w:line="320" w:lineRule="exact"/>
        <w:jc w:val="both"/>
        <w:rPr>
          <w:rFonts w:ascii="Garamond" w:hAnsi="Garamond"/>
          <w:noProof/>
          <w:sz w:val="24"/>
          <w:szCs w:val="24"/>
          <w:lang w:val="en-GB"/>
        </w:rPr>
      </w:pPr>
      <w:r w:rsidRPr="00A17D9B">
        <w:rPr>
          <w:rFonts w:ascii="Garamond" w:hAnsi="Garamond"/>
          <w:noProof/>
          <w:sz w:val="24"/>
          <w:szCs w:val="24"/>
          <w:lang w:val="en-GB"/>
        </w:rPr>
        <w:t>We chose a</w:t>
      </w:r>
      <w:r w:rsidR="00857948" w:rsidRPr="00A17D9B">
        <w:rPr>
          <w:rFonts w:ascii="Garamond" w:hAnsi="Garamond"/>
          <w:noProof/>
          <w:sz w:val="24"/>
          <w:szCs w:val="24"/>
          <w:lang w:val="en-GB"/>
        </w:rPr>
        <w:t xml:space="preserve"> </w:t>
      </w:r>
      <w:r w:rsidR="00AF7D47" w:rsidRPr="00A17D9B">
        <w:rPr>
          <w:rFonts w:ascii="Garamond" w:hAnsi="Garamond"/>
          <w:noProof/>
          <w:sz w:val="24"/>
          <w:szCs w:val="24"/>
          <w:lang w:val="en-GB"/>
        </w:rPr>
        <w:t>L</w:t>
      </w:r>
      <w:r w:rsidRPr="00A17D9B">
        <w:rPr>
          <w:rFonts w:ascii="Garamond" w:hAnsi="Garamond"/>
          <w:noProof/>
          <w:sz w:val="24"/>
          <w:szCs w:val="24"/>
          <w:lang w:val="en-GB"/>
        </w:rPr>
        <w:t xml:space="preserve">ikert scale to record the </w:t>
      </w:r>
      <w:r w:rsidR="00857948" w:rsidRPr="00A17D9B">
        <w:rPr>
          <w:rFonts w:ascii="Garamond" w:hAnsi="Garamond"/>
          <w:noProof/>
          <w:sz w:val="24"/>
          <w:szCs w:val="24"/>
          <w:lang w:val="en-GB"/>
        </w:rPr>
        <w:t>respondents</w:t>
      </w:r>
      <w:r w:rsidRPr="00A17D9B">
        <w:rPr>
          <w:rFonts w:ascii="Garamond" w:hAnsi="Garamond"/>
          <w:noProof/>
          <w:sz w:val="24"/>
          <w:szCs w:val="24"/>
          <w:lang w:val="en-GB"/>
        </w:rPr>
        <w:t>’ answers</w:t>
      </w:r>
      <w:r w:rsidR="006E1CE1" w:rsidRPr="00A17D9B">
        <w:rPr>
          <w:rFonts w:ascii="Garamond" w:hAnsi="Garamond"/>
          <w:noProof/>
          <w:sz w:val="24"/>
          <w:szCs w:val="24"/>
          <w:lang w:val="en-GB"/>
        </w:rPr>
        <w:t>,</w:t>
      </w:r>
      <w:r w:rsidR="00857948" w:rsidRPr="00A17D9B">
        <w:rPr>
          <w:rFonts w:ascii="Garamond" w:hAnsi="Garamond"/>
          <w:noProof/>
          <w:sz w:val="24"/>
          <w:szCs w:val="24"/>
          <w:lang w:val="en-GB"/>
        </w:rPr>
        <w:t xml:space="preserve"> with values spanning from ‘Totally Agree’ (TA), ‘Agree’ (A), ‘Neither agree nor disagree’ (NN), ‘Disagree’ (D), ‘Totally Disagree’ (TD). The limitations and difficulties of </w:t>
      </w:r>
      <w:r w:rsidR="00AF7D47" w:rsidRPr="00A17D9B">
        <w:rPr>
          <w:rFonts w:ascii="Garamond" w:hAnsi="Garamond"/>
          <w:noProof/>
          <w:sz w:val="24"/>
          <w:szCs w:val="24"/>
          <w:lang w:val="en-GB"/>
        </w:rPr>
        <w:t>L</w:t>
      </w:r>
      <w:r w:rsidR="00857948" w:rsidRPr="00A17D9B">
        <w:rPr>
          <w:rFonts w:ascii="Garamond" w:hAnsi="Garamond"/>
          <w:noProof/>
          <w:sz w:val="24"/>
          <w:szCs w:val="24"/>
          <w:lang w:val="en-GB"/>
        </w:rPr>
        <w:t xml:space="preserve">ikert scales are well </w:t>
      </w:r>
      <w:r w:rsidR="00F57577" w:rsidRPr="00A17D9B">
        <w:rPr>
          <w:rFonts w:ascii="Garamond" w:hAnsi="Garamond"/>
          <w:noProof/>
          <w:sz w:val="24"/>
          <w:szCs w:val="24"/>
          <w:lang w:val="en-GB"/>
        </w:rPr>
        <w:t>accounted for</w:t>
      </w:r>
      <w:r w:rsidR="005D06AF" w:rsidRPr="00A17D9B">
        <w:rPr>
          <w:rFonts w:ascii="Garamond" w:hAnsi="Garamond"/>
          <w:noProof/>
          <w:sz w:val="24"/>
          <w:szCs w:val="24"/>
          <w:lang w:val="en-GB"/>
        </w:rPr>
        <w:t xml:space="preserve"> regarding</w:t>
      </w:r>
      <w:r w:rsidR="00857948" w:rsidRPr="00A17D9B">
        <w:rPr>
          <w:rFonts w:ascii="Garamond" w:hAnsi="Garamond"/>
          <w:noProof/>
          <w:sz w:val="24"/>
          <w:szCs w:val="24"/>
          <w:lang w:val="en-GB"/>
        </w:rPr>
        <w:t xml:space="preserve"> reduced dispersion of answers, bias toward</w:t>
      </w:r>
      <w:r w:rsidR="005D06AF" w:rsidRPr="00A17D9B">
        <w:rPr>
          <w:rFonts w:ascii="Garamond" w:hAnsi="Garamond"/>
          <w:noProof/>
          <w:sz w:val="24"/>
          <w:szCs w:val="24"/>
          <w:lang w:val="en-GB"/>
        </w:rPr>
        <w:t>s</w:t>
      </w:r>
      <w:r w:rsidR="00857948" w:rsidRPr="00A17D9B">
        <w:rPr>
          <w:rFonts w:ascii="Garamond" w:hAnsi="Garamond"/>
          <w:noProof/>
          <w:sz w:val="24"/>
          <w:szCs w:val="24"/>
          <w:lang w:val="en-GB"/>
        </w:rPr>
        <w:t xml:space="preserve"> (A) and (D) and packaging of all divergent answers under (NN).</w:t>
      </w:r>
      <w:r w:rsidR="00F57577" w:rsidRPr="00A17D9B">
        <w:rPr>
          <w:rFonts w:ascii="Garamond" w:hAnsi="Garamond"/>
          <w:noProof/>
          <w:sz w:val="24"/>
          <w:szCs w:val="24"/>
          <w:lang w:val="en-GB"/>
        </w:rPr>
        <w:t xml:space="preserve"> However, the same limitations also have positive elements</w:t>
      </w:r>
      <w:r w:rsidR="005D06AF" w:rsidRPr="00A17D9B">
        <w:rPr>
          <w:rFonts w:ascii="Garamond" w:hAnsi="Garamond"/>
          <w:noProof/>
          <w:sz w:val="24"/>
          <w:szCs w:val="24"/>
          <w:lang w:val="en-GB"/>
        </w:rPr>
        <w:t xml:space="preserve"> such as: being simple</w:t>
      </w:r>
      <w:r w:rsidR="00F57577" w:rsidRPr="00A17D9B">
        <w:rPr>
          <w:rFonts w:ascii="Garamond" w:hAnsi="Garamond"/>
          <w:noProof/>
          <w:sz w:val="24"/>
          <w:szCs w:val="24"/>
          <w:lang w:val="en-GB"/>
        </w:rPr>
        <w:t xml:space="preserve">, easy to understand and quick to answer, </w:t>
      </w:r>
      <w:r w:rsidR="006E1CE1" w:rsidRPr="00A17D9B">
        <w:rPr>
          <w:rFonts w:ascii="Garamond" w:hAnsi="Garamond"/>
          <w:noProof/>
          <w:sz w:val="24"/>
          <w:szCs w:val="24"/>
          <w:lang w:val="en-GB"/>
        </w:rPr>
        <w:t>and sharp contrasts in answers revealing trends</w:t>
      </w:r>
      <w:r w:rsidR="005D06AF" w:rsidRPr="00A17D9B">
        <w:rPr>
          <w:rFonts w:ascii="Garamond" w:hAnsi="Garamond"/>
          <w:noProof/>
          <w:sz w:val="24"/>
          <w:szCs w:val="24"/>
          <w:lang w:val="en-GB"/>
        </w:rPr>
        <w:t xml:space="preserve"> rather than a detailed picture</w:t>
      </w:r>
      <w:r w:rsidR="006E1CE1" w:rsidRPr="00A17D9B">
        <w:rPr>
          <w:rFonts w:ascii="Garamond" w:hAnsi="Garamond"/>
          <w:noProof/>
          <w:sz w:val="24"/>
          <w:szCs w:val="24"/>
          <w:lang w:val="en-GB"/>
        </w:rPr>
        <w:t xml:space="preserve"> of </w:t>
      </w:r>
      <w:r w:rsidR="00C6481A" w:rsidRPr="00A17D9B">
        <w:rPr>
          <w:rFonts w:ascii="Garamond" w:hAnsi="Garamond"/>
          <w:noProof/>
          <w:sz w:val="24"/>
          <w:szCs w:val="24"/>
          <w:lang w:val="en-GB"/>
        </w:rPr>
        <w:t xml:space="preserve">the </w:t>
      </w:r>
      <w:r w:rsidR="006E1CE1" w:rsidRPr="00A17D9B">
        <w:rPr>
          <w:rFonts w:ascii="Garamond" w:hAnsi="Garamond"/>
          <w:noProof/>
          <w:sz w:val="24"/>
          <w:szCs w:val="24"/>
          <w:lang w:val="en-GB"/>
        </w:rPr>
        <w:t>phenomen</w:t>
      </w:r>
      <w:r w:rsidR="00C6481A" w:rsidRPr="00A17D9B">
        <w:rPr>
          <w:rFonts w:ascii="Garamond" w:hAnsi="Garamond"/>
          <w:noProof/>
          <w:sz w:val="24"/>
          <w:szCs w:val="24"/>
          <w:lang w:val="en-GB"/>
        </w:rPr>
        <w:t>on</w:t>
      </w:r>
      <w:r w:rsidR="006E1CE1" w:rsidRPr="00A17D9B">
        <w:rPr>
          <w:rFonts w:ascii="Garamond" w:hAnsi="Garamond"/>
          <w:noProof/>
          <w:sz w:val="24"/>
          <w:szCs w:val="24"/>
          <w:lang w:val="en-GB"/>
        </w:rPr>
        <w:t xml:space="preserve">. </w:t>
      </w:r>
    </w:p>
    <w:p w14:paraId="2F54661F" w14:textId="552A8184" w:rsidR="00857948" w:rsidRPr="00A17D9B" w:rsidRDefault="005D06AF" w:rsidP="006C7AD4">
      <w:pPr>
        <w:spacing w:before="120" w:after="0" w:line="320" w:lineRule="exact"/>
        <w:jc w:val="both"/>
        <w:rPr>
          <w:rFonts w:ascii="Garamond" w:hAnsi="Garamond"/>
          <w:noProof/>
          <w:sz w:val="24"/>
          <w:szCs w:val="24"/>
          <w:lang w:val="en-GB"/>
        </w:rPr>
      </w:pPr>
      <w:r w:rsidRPr="00A17D9B">
        <w:rPr>
          <w:rFonts w:ascii="Garamond" w:hAnsi="Garamond"/>
          <w:noProof/>
          <w:sz w:val="24"/>
          <w:szCs w:val="24"/>
          <w:lang w:val="en-GB"/>
        </w:rPr>
        <w:t>One aspect often overseen by</w:t>
      </w:r>
      <w:r w:rsidR="006E1CE1" w:rsidRPr="00A17D9B">
        <w:rPr>
          <w:rFonts w:ascii="Garamond" w:hAnsi="Garamond"/>
          <w:noProof/>
          <w:sz w:val="24"/>
          <w:szCs w:val="24"/>
          <w:lang w:val="en-GB"/>
        </w:rPr>
        <w:t xml:space="preserve"> </w:t>
      </w:r>
      <w:r w:rsidR="00AF7D47" w:rsidRPr="00A17D9B">
        <w:rPr>
          <w:rFonts w:ascii="Garamond" w:hAnsi="Garamond"/>
          <w:noProof/>
          <w:sz w:val="24"/>
          <w:szCs w:val="24"/>
          <w:lang w:val="en-GB"/>
        </w:rPr>
        <w:t>L</w:t>
      </w:r>
      <w:r w:rsidR="006E1CE1" w:rsidRPr="00A17D9B">
        <w:rPr>
          <w:rFonts w:ascii="Garamond" w:hAnsi="Garamond"/>
          <w:noProof/>
          <w:sz w:val="24"/>
          <w:szCs w:val="24"/>
          <w:lang w:val="en-GB"/>
        </w:rPr>
        <w:t xml:space="preserve">ikert scales is their non linearity. </w:t>
      </w:r>
      <w:r w:rsidR="00592F58" w:rsidRPr="00A17D9B">
        <w:rPr>
          <w:rFonts w:ascii="Garamond" w:hAnsi="Garamond"/>
          <w:noProof/>
          <w:sz w:val="24"/>
          <w:szCs w:val="24"/>
          <w:lang w:val="en-GB"/>
        </w:rPr>
        <w:t xml:space="preserve">While (TA), (A), (D) and </w:t>
      </w:r>
      <w:r w:rsidR="00C6481A" w:rsidRPr="00A17D9B">
        <w:rPr>
          <w:rFonts w:ascii="Garamond" w:hAnsi="Garamond"/>
          <w:noProof/>
          <w:sz w:val="24"/>
          <w:szCs w:val="24"/>
          <w:lang w:val="en-GB"/>
        </w:rPr>
        <w:t>(</w:t>
      </w:r>
      <w:r w:rsidR="00592F58" w:rsidRPr="00A17D9B">
        <w:rPr>
          <w:rFonts w:ascii="Garamond" w:hAnsi="Garamond"/>
          <w:noProof/>
          <w:sz w:val="24"/>
          <w:szCs w:val="24"/>
          <w:lang w:val="en-GB"/>
        </w:rPr>
        <w:t>TD</w:t>
      </w:r>
      <w:r w:rsidR="00C6481A" w:rsidRPr="00A17D9B">
        <w:rPr>
          <w:rFonts w:ascii="Garamond" w:hAnsi="Garamond"/>
          <w:noProof/>
          <w:sz w:val="24"/>
          <w:szCs w:val="24"/>
          <w:lang w:val="en-GB"/>
        </w:rPr>
        <w:t>)</w:t>
      </w:r>
      <w:r w:rsidRPr="00A17D9B">
        <w:rPr>
          <w:rFonts w:ascii="Garamond" w:hAnsi="Garamond"/>
          <w:noProof/>
          <w:sz w:val="24"/>
          <w:szCs w:val="24"/>
          <w:lang w:val="en-GB"/>
        </w:rPr>
        <w:t xml:space="preserve"> are part of the</w:t>
      </w:r>
      <w:r w:rsidR="00592F58" w:rsidRPr="00A17D9B">
        <w:rPr>
          <w:rFonts w:ascii="Garamond" w:hAnsi="Garamond"/>
          <w:noProof/>
          <w:sz w:val="24"/>
          <w:szCs w:val="24"/>
          <w:lang w:val="en-GB"/>
        </w:rPr>
        <w:t xml:space="preserve"> same informational space, (NN) is but the shadow of the former,</w:t>
      </w:r>
      <w:r w:rsidR="00C6481A" w:rsidRPr="00A17D9B">
        <w:rPr>
          <w:rFonts w:ascii="Garamond" w:hAnsi="Garamond"/>
          <w:noProof/>
          <w:sz w:val="24"/>
          <w:szCs w:val="24"/>
          <w:lang w:val="en-GB"/>
        </w:rPr>
        <w:t xml:space="preserve"> </w:t>
      </w:r>
      <w:r w:rsidR="00FC041C" w:rsidRPr="00A17D9B">
        <w:rPr>
          <w:rFonts w:ascii="Garamond" w:hAnsi="Garamond"/>
          <w:noProof/>
          <w:sz w:val="24"/>
          <w:szCs w:val="24"/>
          <w:lang w:val="en-GB"/>
        </w:rPr>
        <w:t xml:space="preserve">capturing </w:t>
      </w:r>
      <w:r w:rsidR="00C6481A" w:rsidRPr="00A17D9B">
        <w:rPr>
          <w:rFonts w:ascii="Garamond" w:hAnsi="Garamond"/>
          <w:noProof/>
          <w:sz w:val="24"/>
          <w:szCs w:val="24"/>
          <w:lang w:val="en-GB"/>
        </w:rPr>
        <w:t xml:space="preserve">answers that can’t fit into this </w:t>
      </w:r>
      <w:r w:rsidR="00FE7A1C" w:rsidRPr="00A17D9B">
        <w:rPr>
          <w:rFonts w:ascii="Garamond" w:hAnsi="Garamond"/>
          <w:noProof/>
          <w:sz w:val="24"/>
          <w:szCs w:val="24"/>
          <w:lang w:val="en-GB"/>
        </w:rPr>
        <w:t>(</w:t>
      </w:r>
      <w:r w:rsidR="00C6481A" w:rsidRPr="00A17D9B">
        <w:rPr>
          <w:rFonts w:ascii="Garamond" w:hAnsi="Garamond"/>
          <w:noProof/>
          <w:sz w:val="24"/>
          <w:szCs w:val="24"/>
          <w:lang w:val="en-GB"/>
        </w:rPr>
        <w:t>limited</w:t>
      </w:r>
      <w:r w:rsidR="00FE7A1C" w:rsidRPr="00A17D9B">
        <w:rPr>
          <w:rFonts w:ascii="Garamond" w:hAnsi="Garamond"/>
          <w:noProof/>
          <w:sz w:val="24"/>
          <w:szCs w:val="24"/>
          <w:lang w:val="en-GB"/>
        </w:rPr>
        <w:t>)</w:t>
      </w:r>
      <w:r w:rsidR="00C6481A" w:rsidRPr="00A17D9B">
        <w:rPr>
          <w:rFonts w:ascii="Garamond" w:hAnsi="Garamond"/>
          <w:noProof/>
          <w:sz w:val="24"/>
          <w:szCs w:val="24"/>
          <w:lang w:val="en-GB"/>
        </w:rPr>
        <w:t xml:space="preserve"> space</w:t>
      </w:r>
      <w:r w:rsidR="00592F58" w:rsidRPr="00A17D9B">
        <w:rPr>
          <w:rFonts w:ascii="Garamond" w:hAnsi="Garamond"/>
          <w:noProof/>
          <w:sz w:val="24"/>
          <w:szCs w:val="24"/>
          <w:lang w:val="en-GB"/>
        </w:rPr>
        <w:t xml:space="preserve">. Practically people replying </w:t>
      </w:r>
      <w:r w:rsidR="00C6481A" w:rsidRPr="00A17D9B">
        <w:rPr>
          <w:rFonts w:ascii="Garamond" w:hAnsi="Garamond"/>
          <w:noProof/>
          <w:sz w:val="24"/>
          <w:szCs w:val="24"/>
          <w:lang w:val="en-GB"/>
        </w:rPr>
        <w:t>(</w:t>
      </w:r>
      <w:r w:rsidR="00592F58" w:rsidRPr="00A17D9B">
        <w:rPr>
          <w:rFonts w:ascii="Garamond" w:hAnsi="Garamond"/>
          <w:noProof/>
          <w:sz w:val="24"/>
          <w:szCs w:val="24"/>
          <w:lang w:val="en-GB"/>
        </w:rPr>
        <w:t>NN</w:t>
      </w:r>
      <w:r w:rsidR="00C6481A" w:rsidRPr="00A17D9B">
        <w:rPr>
          <w:rFonts w:ascii="Garamond" w:hAnsi="Garamond"/>
          <w:noProof/>
          <w:sz w:val="24"/>
          <w:szCs w:val="24"/>
          <w:lang w:val="en-GB"/>
        </w:rPr>
        <w:t>)</w:t>
      </w:r>
      <w:r w:rsidR="00592F58" w:rsidRPr="00A17D9B">
        <w:rPr>
          <w:rFonts w:ascii="Garamond" w:hAnsi="Garamond"/>
          <w:noProof/>
          <w:sz w:val="24"/>
          <w:szCs w:val="24"/>
          <w:lang w:val="en-GB"/>
        </w:rPr>
        <w:t xml:space="preserve"> </w:t>
      </w:r>
      <w:r w:rsidR="00C6481A" w:rsidRPr="00A17D9B">
        <w:rPr>
          <w:rFonts w:ascii="Garamond" w:hAnsi="Garamond"/>
          <w:noProof/>
          <w:sz w:val="24"/>
          <w:szCs w:val="24"/>
          <w:lang w:val="en-GB"/>
        </w:rPr>
        <w:t xml:space="preserve">can’t </w:t>
      </w:r>
      <w:r w:rsidRPr="00A17D9B">
        <w:rPr>
          <w:rFonts w:ascii="Garamond" w:hAnsi="Garamond"/>
          <w:noProof/>
          <w:sz w:val="24"/>
          <w:szCs w:val="24"/>
          <w:lang w:val="en-GB"/>
        </w:rPr>
        <w:t>capture their answer in</w:t>
      </w:r>
      <w:r w:rsidR="00592F58" w:rsidRPr="00A17D9B">
        <w:rPr>
          <w:rFonts w:ascii="Garamond" w:hAnsi="Garamond"/>
          <w:noProof/>
          <w:sz w:val="24"/>
          <w:szCs w:val="24"/>
          <w:lang w:val="en-GB"/>
        </w:rPr>
        <w:t xml:space="preserve"> one of the four first options</w:t>
      </w:r>
      <w:r w:rsidR="00C6481A" w:rsidRPr="00A17D9B">
        <w:rPr>
          <w:rFonts w:ascii="Garamond" w:hAnsi="Garamond"/>
          <w:noProof/>
          <w:sz w:val="24"/>
          <w:szCs w:val="24"/>
          <w:lang w:val="en-GB"/>
        </w:rPr>
        <w:t xml:space="preserve"> and</w:t>
      </w:r>
      <w:r w:rsidR="00592F58" w:rsidRPr="00A17D9B">
        <w:rPr>
          <w:rFonts w:ascii="Garamond" w:hAnsi="Garamond"/>
          <w:noProof/>
          <w:sz w:val="24"/>
          <w:szCs w:val="24"/>
          <w:lang w:val="en-GB"/>
        </w:rPr>
        <w:t xml:space="preserve"> </w:t>
      </w:r>
      <w:r w:rsidR="00C6481A" w:rsidRPr="00A17D9B">
        <w:rPr>
          <w:rFonts w:ascii="Garamond" w:hAnsi="Garamond"/>
          <w:noProof/>
          <w:sz w:val="24"/>
          <w:szCs w:val="24"/>
          <w:lang w:val="en-GB"/>
        </w:rPr>
        <w:t xml:space="preserve">by </w:t>
      </w:r>
      <w:r w:rsidR="00592F58" w:rsidRPr="00A17D9B">
        <w:rPr>
          <w:rFonts w:ascii="Garamond" w:hAnsi="Garamond"/>
          <w:noProof/>
          <w:sz w:val="24"/>
          <w:szCs w:val="24"/>
          <w:lang w:val="en-GB"/>
        </w:rPr>
        <w:t>doing so express their resistance or in</w:t>
      </w:r>
      <w:r w:rsidR="00EA34CA" w:rsidRPr="00A17D9B">
        <w:rPr>
          <w:rFonts w:ascii="Garamond" w:hAnsi="Garamond"/>
          <w:noProof/>
          <w:sz w:val="24"/>
          <w:szCs w:val="24"/>
          <w:lang w:val="en-GB"/>
        </w:rPr>
        <w:t xml:space="preserve">hability </w:t>
      </w:r>
      <w:r w:rsidR="00592F58" w:rsidRPr="00A17D9B">
        <w:rPr>
          <w:rFonts w:ascii="Garamond" w:hAnsi="Garamond"/>
          <w:noProof/>
          <w:sz w:val="24"/>
          <w:szCs w:val="24"/>
          <w:lang w:val="en-GB"/>
        </w:rPr>
        <w:t xml:space="preserve">to </w:t>
      </w:r>
      <w:r w:rsidR="00592F58" w:rsidRPr="00A17D9B">
        <w:rPr>
          <w:rFonts w:ascii="Garamond" w:hAnsi="Garamond"/>
          <w:noProof/>
          <w:sz w:val="24"/>
          <w:szCs w:val="24"/>
          <w:lang w:val="en-GB"/>
        </w:rPr>
        <w:lastRenderedPageBreak/>
        <w:t xml:space="preserve">answer the question either in a negative or a positive way. We </w:t>
      </w:r>
      <w:r w:rsidR="00C6481A" w:rsidRPr="00A17D9B">
        <w:rPr>
          <w:rFonts w:ascii="Garamond" w:hAnsi="Garamond"/>
          <w:noProof/>
          <w:sz w:val="24"/>
          <w:szCs w:val="24"/>
          <w:lang w:val="en-GB"/>
        </w:rPr>
        <w:t xml:space="preserve">don’t </w:t>
      </w:r>
      <w:r w:rsidR="00592F58" w:rsidRPr="00A17D9B">
        <w:rPr>
          <w:rFonts w:ascii="Garamond" w:hAnsi="Garamond"/>
          <w:noProof/>
          <w:sz w:val="24"/>
          <w:szCs w:val="24"/>
          <w:lang w:val="en-GB"/>
        </w:rPr>
        <w:t>know the reasons they hav</w:t>
      </w:r>
      <w:r w:rsidRPr="00A17D9B">
        <w:rPr>
          <w:rFonts w:ascii="Garamond" w:hAnsi="Garamond"/>
          <w:noProof/>
          <w:sz w:val="24"/>
          <w:szCs w:val="24"/>
          <w:lang w:val="en-GB"/>
        </w:rPr>
        <w:t>e for choosing (NN) but the magnitude</w:t>
      </w:r>
      <w:r w:rsidR="00592F58" w:rsidRPr="00A17D9B">
        <w:rPr>
          <w:rFonts w:ascii="Garamond" w:hAnsi="Garamond"/>
          <w:noProof/>
          <w:sz w:val="24"/>
          <w:szCs w:val="24"/>
          <w:lang w:val="en-GB"/>
        </w:rPr>
        <w:t xml:space="preserve"> of </w:t>
      </w:r>
      <w:r w:rsidR="00FE7A1C" w:rsidRPr="00A17D9B">
        <w:rPr>
          <w:rFonts w:ascii="Garamond" w:hAnsi="Garamond"/>
          <w:noProof/>
          <w:sz w:val="24"/>
          <w:szCs w:val="24"/>
          <w:lang w:val="en-GB"/>
        </w:rPr>
        <w:t>this answer</w:t>
      </w:r>
      <w:r w:rsidRPr="00A17D9B">
        <w:rPr>
          <w:rFonts w:ascii="Garamond" w:hAnsi="Garamond"/>
          <w:noProof/>
          <w:sz w:val="24"/>
          <w:szCs w:val="24"/>
          <w:lang w:val="en-GB"/>
        </w:rPr>
        <w:t xml:space="preserve"> gives forth </w:t>
      </w:r>
      <w:r w:rsidR="00592F58" w:rsidRPr="00A17D9B">
        <w:rPr>
          <w:rFonts w:ascii="Garamond" w:hAnsi="Garamond"/>
          <w:noProof/>
          <w:sz w:val="24"/>
          <w:szCs w:val="24"/>
          <w:lang w:val="en-GB"/>
        </w:rPr>
        <w:t xml:space="preserve">very valuable information: </w:t>
      </w:r>
      <w:r w:rsidR="00FE7A1C" w:rsidRPr="00A17D9B">
        <w:rPr>
          <w:rFonts w:ascii="Garamond" w:hAnsi="Garamond"/>
          <w:noProof/>
          <w:sz w:val="24"/>
          <w:szCs w:val="24"/>
          <w:lang w:val="en-GB"/>
        </w:rPr>
        <w:t>that of the</w:t>
      </w:r>
      <w:r w:rsidR="00592F58" w:rsidRPr="00A17D9B">
        <w:rPr>
          <w:rFonts w:ascii="Garamond" w:hAnsi="Garamond"/>
          <w:noProof/>
          <w:sz w:val="24"/>
          <w:szCs w:val="24"/>
          <w:lang w:val="en-GB"/>
        </w:rPr>
        <w:t xml:space="preserve"> shadow group</w:t>
      </w:r>
      <w:r w:rsidR="00440A25" w:rsidRPr="00A17D9B">
        <w:rPr>
          <w:rFonts w:ascii="Garamond" w:hAnsi="Garamond"/>
          <w:noProof/>
          <w:sz w:val="24"/>
          <w:szCs w:val="24"/>
          <w:lang w:val="en-GB"/>
        </w:rPr>
        <w:t xml:space="preserve"> that </w:t>
      </w:r>
      <w:r w:rsidR="00592F58" w:rsidRPr="00A17D9B">
        <w:rPr>
          <w:rFonts w:ascii="Garamond" w:hAnsi="Garamond"/>
          <w:i/>
          <w:iCs/>
          <w:noProof/>
          <w:sz w:val="24"/>
          <w:szCs w:val="24"/>
          <w:lang w:val="en-GB"/>
        </w:rPr>
        <w:t>may eventually take position</w:t>
      </w:r>
      <w:r w:rsidR="00592F58" w:rsidRPr="00A17D9B">
        <w:rPr>
          <w:rFonts w:ascii="Garamond" w:hAnsi="Garamond"/>
          <w:noProof/>
          <w:sz w:val="24"/>
          <w:szCs w:val="24"/>
          <w:lang w:val="en-GB"/>
        </w:rPr>
        <w:t xml:space="preserve"> </w:t>
      </w:r>
      <w:r w:rsidR="00FE7A1C" w:rsidRPr="00A17D9B">
        <w:rPr>
          <w:rFonts w:ascii="Garamond" w:hAnsi="Garamond"/>
          <w:noProof/>
          <w:sz w:val="24"/>
          <w:szCs w:val="24"/>
          <w:lang w:val="en-GB"/>
        </w:rPr>
        <w:t>on the axis (TA), (A), (D) and (TD)</w:t>
      </w:r>
      <w:r w:rsidR="00592F58" w:rsidRPr="00A17D9B">
        <w:rPr>
          <w:rFonts w:ascii="Garamond" w:hAnsi="Garamond"/>
          <w:noProof/>
          <w:sz w:val="24"/>
          <w:szCs w:val="24"/>
          <w:lang w:val="en-GB"/>
        </w:rPr>
        <w:t>.</w:t>
      </w:r>
      <w:r w:rsidR="00440A25" w:rsidRPr="00A17D9B">
        <w:rPr>
          <w:rFonts w:ascii="Garamond" w:hAnsi="Garamond"/>
          <w:noProof/>
          <w:sz w:val="24"/>
          <w:szCs w:val="24"/>
          <w:lang w:val="en-GB"/>
        </w:rPr>
        <w:t xml:space="preserve"> The size of this potential switching group is of crucial importance, as we will see</w:t>
      </w:r>
      <w:r w:rsidR="00537282" w:rsidRPr="00A17D9B">
        <w:rPr>
          <w:rFonts w:ascii="Garamond" w:hAnsi="Garamond"/>
          <w:noProof/>
          <w:sz w:val="24"/>
          <w:szCs w:val="24"/>
          <w:lang w:val="en-GB"/>
        </w:rPr>
        <w:t xml:space="preserve"> in the next paragraph</w:t>
      </w:r>
      <w:r w:rsidR="00440A25" w:rsidRPr="00A17D9B">
        <w:rPr>
          <w:rFonts w:ascii="Garamond" w:hAnsi="Garamond"/>
          <w:noProof/>
          <w:sz w:val="24"/>
          <w:szCs w:val="24"/>
          <w:lang w:val="en-GB"/>
        </w:rPr>
        <w:t>.</w:t>
      </w:r>
    </w:p>
    <w:p w14:paraId="4869F997" w14:textId="5001A2D2" w:rsidR="00440A25" w:rsidRPr="00A17D9B" w:rsidRDefault="00440A25" w:rsidP="006C7AD4">
      <w:pPr>
        <w:spacing w:before="120" w:after="0" w:line="320" w:lineRule="exact"/>
        <w:jc w:val="both"/>
        <w:rPr>
          <w:rFonts w:ascii="Garamond" w:hAnsi="Garamond"/>
          <w:noProof/>
          <w:sz w:val="24"/>
          <w:szCs w:val="24"/>
          <w:lang w:val="en-GB"/>
        </w:rPr>
      </w:pPr>
      <w:r w:rsidRPr="00A17D9B">
        <w:rPr>
          <w:rFonts w:ascii="Garamond" w:hAnsi="Garamond"/>
          <w:noProof/>
          <w:sz w:val="24"/>
          <w:szCs w:val="24"/>
          <w:lang w:val="en-GB"/>
        </w:rPr>
        <w:t xml:space="preserve">Another important element of </w:t>
      </w:r>
      <w:r w:rsidR="00AF7D47" w:rsidRPr="00A17D9B">
        <w:rPr>
          <w:rFonts w:ascii="Garamond" w:hAnsi="Garamond"/>
          <w:noProof/>
          <w:sz w:val="24"/>
          <w:szCs w:val="24"/>
          <w:lang w:val="en-GB"/>
        </w:rPr>
        <w:t>L</w:t>
      </w:r>
      <w:r w:rsidRPr="00A17D9B">
        <w:rPr>
          <w:rFonts w:ascii="Garamond" w:hAnsi="Garamond"/>
          <w:noProof/>
          <w:sz w:val="24"/>
          <w:szCs w:val="24"/>
          <w:lang w:val="en-GB"/>
        </w:rPr>
        <w:t xml:space="preserve">ikert scales is that even between (TA), (A), (D) and (TD) the space is not really continuous. </w:t>
      </w:r>
      <w:r w:rsidR="00EA0CDC" w:rsidRPr="00A17D9B">
        <w:rPr>
          <w:rFonts w:ascii="Garamond" w:hAnsi="Garamond"/>
          <w:noProof/>
          <w:sz w:val="24"/>
          <w:szCs w:val="24"/>
          <w:lang w:val="en-GB"/>
        </w:rPr>
        <w:t>What’s the difference between a person who answer</w:t>
      </w:r>
      <w:r w:rsidR="00AF7D47" w:rsidRPr="00A17D9B">
        <w:rPr>
          <w:rFonts w:ascii="Garamond" w:hAnsi="Garamond"/>
          <w:noProof/>
          <w:sz w:val="24"/>
          <w:szCs w:val="24"/>
          <w:lang w:val="en-GB"/>
        </w:rPr>
        <w:t>s</w:t>
      </w:r>
      <w:r w:rsidR="00EA0CDC" w:rsidRPr="00A17D9B">
        <w:rPr>
          <w:rFonts w:ascii="Garamond" w:hAnsi="Garamond"/>
          <w:noProof/>
          <w:sz w:val="24"/>
          <w:szCs w:val="24"/>
          <w:lang w:val="en-GB"/>
        </w:rPr>
        <w:t xml:space="preserve"> </w:t>
      </w:r>
      <w:r w:rsidR="00AF7D47" w:rsidRPr="00A17D9B">
        <w:rPr>
          <w:rFonts w:ascii="Garamond" w:hAnsi="Garamond"/>
          <w:noProof/>
          <w:sz w:val="24"/>
          <w:szCs w:val="24"/>
          <w:lang w:val="en-GB"/>
        </w:rPr>
        <w:t>‘</w:t>
      </w:r>
      <w:r w:rsidR="00EA0CDC" w:rsidRPr="00A17D9B">
        <w:rPr>
          <w:rFonts w:ascii="Garamond" w:hAnsi="Garamond"/>
          <w:noProof/>
          <w:sz w:val="24"/>
          <w:szCs w:val="24"/>
          <w:lang w:val="en-GB"/>
        </w:rPr>
        <w:t>Agree</w:t>
      </w:r>
      <w:r w:rsidR="00AF7D47" w:rsidRPr="00A17D9B">
        <w:rPr>
          <w:rFonts w:ascii="Garamond" w:hAnsi="Garamond"/>
          <w:noProof/>
          <w:sz w:val="24"/>
          <w:szCs w:val="24"/>
          <w:lang w:val="en-GB"/>
        </w:rPr>
        <w:t>’</w:t>
      </w:r>
      <w:r w:rsidR="00EA0CDC" w:rsidRPr="00A17D9B">
        <w:rPr>
          <w:rFonts w:ascii="Garamond" w:hAnsi="Garamond"/>
          <w:noProof/>
          <w:sz w:val="24"/>
          <w:szCs w:val="24"/>
          <w:lang w:val="en-GB"/>
        </w:rPr>
        <w:t xml:space="preserve"> and one who repl</w:t>
      </w:r>
      <w:r w:rsidR="00AF7D47" w:rsidRPr="00A17D9B">
        <w:rPr>
          <w:rFonts w:ascii="Garamond" w:hAnsi="Garamond"/>
          <w:noProof/>
          <w:sz w:val="24"/>
          <w:szCs w:val="24"/>
          <w:lang w:val="en-GB"/>
        </w:rPr>
        <w:t>ies</w:t>
      </w:r>
      <w:r w:rsidR="00EA0CDC" w:rsidRPr="00A17D9B">
        <w:rPr>
          <w:rFonts w:ascii="Garamond" w:hAnsi="Garamond"/>
          <w:noProof/>
          <w:sz w:val="24"/>
          <w:szCs w:val="24"/>
          <w:lang w:val="en-GB"/>
        </w:rPr>
        <w:t xml:space="preserve"> </w:t>
      </w:r>
      <w:r w:rsidR="00AF7D47" w:rsidRPr="00A17D9B">
        <w:rPr>
          <w:rFonts w:ascii="Garamond" w:hAnsi="Garamond"/>
          <w:noProof/>
          <w:sz w:val="24"/>
          <w:szCs w:val="24"/>
          <w:lang w:val="en-GB"/>
        </w:rPr>
        <w:t>‘</w:t>
      </w:r>
      <w:r w:rsidR="00EA0CDC" w:rsidRPr="00A17D9B">
        <w:rPr>
          <w:rFonts w:ascii="Garamond" w:hAnsi="Garamond"/>
          <w:noProof/>
          <w:sz w:val="24"/>
          <w:szCs w:val="24"/>
          <w:lang w:val="en-GB"/>
        </w:rPr>
        <w:t>Totally agree</w:t>
      </w:r>
      <w:r w:rsidR="00AF7D47" w:rsidRPr="00A17D9B">
        <w:rPr>
          <w:rFonts w:ascii="Garamond" w:hAnsi="Garamond"/>
          <w:noProof/>
          <w:sz w:val="24"/>
          <w:szCs w:val="24"/>
          <w:lang w:val="en-GB"/>
        </w:rPr>
        <w:t>’</w:t>
      </w:r>
      <w:r w:rsidR="00EA0CDC" w:rsidRPr="00A17D9B">
        <w:rPr>
          <w:rFonts w:ascii="Garamond" w:hAnsi="Garamond"/>
          <w:noProof/>
          <w:sz w:val="24"/>
          <w:szCs w:val="24"/>
          <w:lang w:val="en-GB"/>
        </w:rPr>
        <w:t xml:space="preserve">? </w:t>
      </w:r>
      <w:r w:rsidR="00AF7D47" w:rsidRPr="00A17D9B">
        <w:rPr>
          <w:rFonts w:ascii="Garamond" w:hAnsi="Garamond"/>
          <w:noProof/>
          <w:sz w:val="24"/>
          <w:szCs w:val="24"/>
          <w:lang w:val="en-GB"/>
        </w:rPr>
        <w:t>Or w</w:t>
      </w:r>
      <w:r w:rsidR="00EA0CDC" w:rsidRPr="00A17D9B">
        <w:rPr>
          <w:rFonts w:ascii="Garamond" w:hAnsi="Garamond"/>
          <w:noProof/>
          <w:sz w:val="24"/>
          <w:szCs w:val="24"/>
          <w:lang w:val="en-GB"/>
        </w:rPr>
        <w:t>hat does it mean to answer positively</w:t>
      </w:r>
      <w:r w:rsidR="00A1302F" w:rsidRPr="00A17D9B">
        <w:rPr>
          <w:rFonts w:ascii="Garamond" w:hAnsi="Garamond"/>
          <w:noProof/>
          <w:sz w:val="24"/>
          <w:szCs w:val="24"/>
          <w:lang w:val="en-GB"/>
        </w:rPr>
        <w:t xml:space="preserve"> (A) and </w:t>
      </w:r>
      <w:r w:rsidR="005B0378" w:rsidRPr="00A17D9B">
        <w:rPr>
          <w:rFonts w:ascii="Garamond" w:hAnsi="Garamond"/>
          <w:noProof/>
          <w:sz w:val="24"/>
          <w:szCs w:val="24"/>
          <w:lang w:val="en-GB"/>
        </w:rPr>
        <w:t>what differentiates</w:t>
      </w:r>
      <w:r w:rsidR="00AF7D47" w:rsidRPr="00A17D9B">
        <w:rPr>
          <w:rFonts w:ascii="Garamond" w:hAnsi="Garamond"/>
          <w:noProof/>
          <w:sz w:val="24"/>
          <w:szCs w:val="24"/>
          <w:lang w:val="en-GB"/>
        </w:rPr>
        <w:t xml:space="preserve"> </w:t>
      </w:r>
      <w:r w:rsidR="005B0378" w:rsidRPr="00A17D9B">
        <w:rPr>
          <w:rFonts w:ascii="Garamond" w:hAnsi="Garamond"/>
          <w:noProof/>
          <w:sz w:val="24"/>
          <w:szCs w:val="24"/>
          <w:lang w:val="en-GB"/>
        </w:rPr>
        <w:t xml:space="preserve">this answer </w:t>
      </w:r>
      <w:r w:rsidR="00AF7D47" w:rsidRPr="00A17D9B">
        <w:rPr>
          <w:rFonts w:ascii="Garamond" w:hAnsi="Garamond"/>
          <w:noProof/>
          <w:sz w:val="24"/>
          <w:szCs w:val="24"/>
          <w:lang w:val="en-GB"/>
        </w:rPr>
        <w:t xml:space="preserve">from the person who answers </w:t>
      </w:r>
      <w:r w:rsidR="00A1302F" w:rsidRPr="00A17D9B">
        <w:rPr>
          <w:rFonts w:ascii="Garamond" w:hAnsi="Garamond"/>
          <w:noProof/>
          <w:sz w:val="24"/>
          <w:szCs w:val="24"/>
          <w:lang w:val="en-GB"/>
        </w:rPr>
        <w:t>(D)?</w:t>
      </w:r>
      <w:r w:rsidR="00EA0CDC" w:rsidRPr="00A17D9B">
        <w:rPr>
          <w:rFonts w:ascii="Garamond" w:hAnsi="Garamond"/>
          <w:noProof/>
          <w:sz w:val="24"/>
          <w:szCs w:val="24"/>
          <w:lang w:val="en-GB"/>
        </w:rPr>
        <w:t xml:space="preserve"> </w:t>
      </w:r>
      <w:r w:rsidR="00672724" w:rsidRPr="00A17D9B">
        <w:rPr>
          <w:rFonts w:ascii="Garamond" w:hAnsi="Garamond"/>
          <w:noProof/>
          <w:sz w:val="24"/>
          <w:szCs w:val="24"/>
          <w:lang w:val="en-GB"/>
        </w:rPr>
        <w:t>On a Likert scale, t</w:t>
      </w:r>
      <w:r w:rsidR="00EA0CDC" w:rsidRPr="00A17D9B">
        <w:rPr>
          <w:rFonts w:ascii="Garamond" w:hAnsi="Garamond"/>
          <w:noProof/>
          <w:sz w:val="24"/>
          <w:szCs w:val="24"/>
          <w:lang w:val="en-GB"/>
        </w:rPr>
        <w:t>he difference</w:t>
      </w:r>
      <w:r w:rsidR="00672724" w:rsidRPr="00A17D9B">
        <w:rPr>
          <w:rFonts w:ascii="Garamond" w:hAnsi="Garamond"/>
          <w:noProof/>
          <w:sz w:val="24"/>
          <w:szCs w:val="24"/>
          <w:lang w:val="en-GB"/>
        </w:rPr>
        <w:t xml:space="preserve"> between answers</w:t>
      </w:r>
      <w:r w:rsidR="00A1302F" w:rsidRPr="00A17D9B">
        <w:rPr>
          <w:rFonts w:ascii="Garamond" w:hAnsi="Garamond"/>
          <w:noProof/>
          <w:sz w:val="24"/>
          <w:szCs w:val="24"/>
          <w:lang w:val="en-GB"/>
        </w:rPr>
        <w:t xml:space="preserve"> </w:t>
      </w:r>
      <w:r w:rsidR="00EA0CDC" w:rsidRPr="00A17D9B">
        <w:rPr>
          <w:rFonts w:ascii="Garamond" w:hAnsi="Garamond"/>
          <w:noProof/>
          <w:sz w:val="24"/>
          <w:szCs w:val="24"/>
          <w:lang w:val="en-GB"/>
        </w:rPr>
        <w:t xml:space="preserve">captures the </w:t>
      </w:r>
      <w:r w:rsidR="00FE7A1C" w:rsidRPr="00A17D9B">
        <w:rPr>
          <w:rFonts w:ascii="Garamond" w:hAnsi="Garamond"/>
          <w:i/>
          <w:iCs/>
          <w:noProof/>
          <w:sz w:val="24"/>
          <w:szCs w:val="24"/>
          <w:lang w:val="en-GB"/>
        </w:rPr>
        <w:t xml:space="preserve">intensity of </w:t>
      </w:r>
      <w:r w:rsidR="00EA0CDC" w:rsidRPr="00A17D9B">
        <w:rPr>
          <w:rFonts w:ascii="Garamond" w:hAnsi="Garamond"/>
          <w:i/>
          <w:iCs/>
          <w:noProof/>
          <w:sz w:val="24"/>
          <w:szCs w:val="24"/>
          <w:lang w:val="en-GB"/>
        </w:rPr>
        <w:t>conviction</w:t>
      </w:r>
      <w:r w:rsidR="00AF7D47" w:rsidRPr="00A17D9B">
        <w:rPr>
          <w:rFonts w:ascii="Garamond" w:hAnsi="Garamond"/>
          <w:i/>
          <w:iCs/>
          <w:noProof/>
          <w:sz w:val="24"/>
          <w:szCs w:val="24"/>
          <w:lang w:val="en-GB"/>
        </w:rPr>
        <w:t>s</w:t>
      </w:r>
      <w:r w:rsidR="00AF7D47" w:rsidRPr="00A17D9B">
        <w:rPr>
          <w:rFonts w:ascii="Garamond" w:hAnsi="Garamond"/>
          <w:noProof/>
          <w:sz w:val="24"/>
          <w:szCs w:val="24"/>
          <w:lang w:val="en-GB"/>
        </w:rPr>
        <w:t xml:space="preserve"> </w:t>
      </w:r>
      <w:r w:rsidR="00EA0CDC" w:rsidRPr="00A17D9B">
        <w:rPr>
          <w:rFonts w:ascii="Garamond" w:hAnsi="Garamond"/>
          <w:noProof/>
          <w:sz w:val="24"/>
          <w:szCs w:val="24"/>
          <w:lang w:val="en-GB"/>
        </w:rPr>
        <w:t>of the respondent</w:t>
      </w:r>
      <w:r w:rsidR="00672724" w:rsidRPr="00A17D9B">
        <w:rPr>
          <w:rFonts w:ascii="Garamond" w:hAnsi="Garamond"/>
          <w:noProof/>
          <w:sz w:val="24"/>
          <w:szCs w:val="24"/>
          <w:lang w:val="en-GB"/>
        </w:rPr>
        <w:t>s</w:t>
      </w:r>
      <w:r w:rsidR="00EA0CDC" w:rsidRPr="00A17D9B">
        <w:rPr>
          <w:rFonts w:ascii="Garamond" w:hAnsi="Garamond"/>
          <w:noProof/>
          <w:sz w:val="24"/>
          <w:szCs w:val="24"/>
          <w:lang w:val="en-GB"/>
        </w:rPr>
        <w:t xml:space="preserve"> </w:t>
      </w:r>
      <w:r w:rsidR="00A1302F" w:rsidRPr="00A17D9B">
        <w:rPr>
          <w:rFonts w:ascii="Garamond" w:hAnsi="Garamond"/>
          <w:noProof/>
          <w:sz w:val="24"/>
          <w:szCs w:val="24"/>
          <w:lang w:val="en-GB"/>
        </w:rPr>
        <w:t xml:space="preserve">either in their approval or disapproval of the phenomenon </w:t>
      </w:r>
      <w:r w:rsidR="00C91F67" w:rsidRPr="00A17D9B">
        <w:rPr>
          <w:rFonts w:ascii="Garamond" w:hAnsi="Garamond"/>
          <w:noProof/>
          <w:sz w:val="24"/>
          <w:szCs w:val="24"/>
          <w:lang w:val="en-GB"/>
        </w:rPr>
        <w:t xml:space="preserve">captured by the </w:t>
      </w:r>
      <w:r w:rsidR="00A1302F" w:rsidRPr="00A17D9B">
        <w:rPr>
          <w:rFonts w:ascii="Garamond" w:hAnsi="Garamond"/>
          <w:noProof/>
          <w:sz w:val="24"/>
          <w:szCs w:val="24"/>
          <w:lang w:val="en-GB"/>
        </w:rPr>
        <w:t xml:space="preserve">questions. </w:t>
      </w:r>
      <w:r w:rsidR="00AF7D47" w:rsidRPr="00A17D9B">
        <w:rPr>
          <w:rFonts w:ascii="Garamond" w:hAnsi="Garamond"/>
          <w:noProof/>
          <w:sz w:val="24"/>
          <w:szCs w:val="24"/>
          <w:lang w:val="en-GB"/>
        </w:rPr>
        <w:t>Accordingly</w:t>
      </w:r>
      <w:r w:rsidR="00A1302F" w:rsidRPr="00A17D9B">
        <w:rPr>
          <w:rFonts w:ascii="Garamond" w:hAnsi="Garamond"/>
          <w:noProof/>
          <w:sz w:val="24"/>
          <w:szCs w:val="24"/>
          <w:lang w:val="en-GB"/>
        </w:rPr>
        <w:t xml:space="preserve">, (TA) and (TD) usually refer to a </w:t>
      </w:r>
      <w:r w:rsidR="00AF7D47" w:rsidRPr="00A17D9B">
        <w:rPr>
          <w:rFonts w:ascii="Garamond" w:hAnsi="Garamond"/>
          <w:noProof/>
          <w:sz w:val="24"/>
          <w:szCs w:val="24"/>
          <w:lang w:val="en-GB"/>
        </w:rPr>
        <w:t xml:space="preserve">strong </w:t>
      </w:r>
      <w:r w:rsidR="005B0378" w:rsidRPr="00A17D9B">
        <w:rPr>
          <w:rFonts w:ascii="Garamond" w:hAnsi="Garamond"/>
          <w:noProof/>
          <w:sz w:val="24"/>
          <w:szCs w:val="24"/>
          <w:lang w:val="en-GB"/>
        </w:rPr>
        <w:t xml:space="preserve">conviction or the respondent’s first-hand experience </w:t>
      </w:r>
      <w:r w:rsidR="00A1302F" w:rsidRPr="00A17D9B">
        <w:rPr>
          <w:rFonts w:ascii="Garamond" w:hAnsi="Garamond"/>
          <w:noProof/>
          <w:sz w:val="24"/>
          <w:szCs w:val="24"/>
          <w:lang w:val="en-GB"/>
        </w:rPr>
        <w:t>and tend to be comparatively stable answer</w:t>
      </w:r>
      <w:r w:rsidR="00AF7D47" w:rsidRPr="00A17D9B">
        <w:rPr>
          <w:rFonts w:ascii="Garamond" w:hAnsi="Garamond"/>
          <w:noProof/>
          <w:sz w:val="24"/>
          <w:szCs w:val="24"/>
          <w:lang w:val="en-GB"/>
        </w:rPr>
        <w:t>s over time</w:t>
      </w:r>
      <w:r w:rsidR="00A1302F" w:rsidRPr="00A17D9B">
        <w:rPr>
          <w:rFonts w:ascii="Garamond" w:hAnsi="Garamond"/>
          <w:noProof/>
          <w:sz w:val="24"/>
          <w:szCs w:val="24"/>
          <w:lang w:val="en-GB"/>
        </w:rPr>
        <w:t>. While (A) and (D)</w:t>
      </w:r>
      <w:r w:rsidR="005B0378" w:rsidRPr="00A17D9B">
        <w:rPr>
          <w:rFonts w:ascii="Garamond" w:hAnsi="Garamond"/>
          <w:noProof/>
          <w:sz w:val="24"/>
          <w:szCs w:val="24"/>
          <w:lang w:val="en-GB"/>
        </w:rPr>
        <w:t xml:space="preserve"> suggest </w:t>
      </w:r>
      <w:r w:rsidR="00AF7D47" w:rsidRPr="00A17D9B">
        <w:rPr>
          <w:rFonts w:ascii="Garamond" w:hAnsi="Garamond"/>
          <w:noProof/>
          <w:sz w:val="24"/>
          <w:szCs w:val="24"/>
          <w:lang w:val="en-GB"/>
        </w:rPr>
        <w:t>a more nuanced approval, one that account</w:t>
      </w:r>
      <w:r w:rsidR="005B0378" w:rsidRPr="00A17D9B">
        <w:rPr>
          <w:rFonts w:ascii="Garamond" w:hAnsi="Garamond"/>
          <w:noProof/>
          <w:sz w:val="24"/>
          <w:szCs w:val="24"/>
          <w:lang w:val="en-GB"/>
        </w:rPr>
        <w:t>s</w:t>
      </w:r>
      <w:r w:rsidR="00AF7D47" w:rsidRPr="00A17D9B">
        <w:rPr>
          <w:rFonts w:ascii="Garamond" w:hAnsi="Garamond"/>
          <w:noProof/>
          <w:sz w:val="24"/>
          <w:szCs w:val="24"/>
          <w:lang w:val="en-GB"/>
        </w:rPr>
        <w:t xml:space="preserve"> for a mixed appraisal of the phenomenon. All in all, a Likert scale does provide information about groups of people</w:t>
      </w:r>
      <w:r w:rsidR="005B0378" w:rsidRPr="00A17D9B">
        <w:rPr>
          <w:rFonts w:ascii="Garamond" w:hAnsi="Garamond"/>
          <w:noProof/>
          <w:sz w:val="24"/>
          <w:szCs w:val="24"/>
          <w:lang w:val="en-GB"/>
        </w:rPr>
        <w:t xml:space="preserve"> and their relative positions with</w:t>
      </w:r>
      <w:r w:rsidR="00AF7D47" w:rsidRPr="00A17D9B">
        <w:rPr>
          <w:rFonts w:ascii="Garamond" w:hAnsi="Garamond"/>
          <w:noProof/>
          <w:sz w:val="24"/>
          <w:szCs w:val="24"/>
          <w:lang w:val="en-GB"/>
        </w:rPr>
        <w:t xml:space="preserve"> regard</w:t>
      </w:r>
      <w:r w:rsidR="005B0378" w:rsidRPr="00A17D9B">
        <w:rPr>
          <w:rFonts w:ascii="Garamond" w:hAnsi="Garamond"/>
          <w:noProof/>
          <w:sz w:val="24"/>
          <w:szCs w:val="24"/>
          <w:lang w:val="en-GB"/>
        </w:rPr>
        <w:t>s to</w:t>
      </w:r>
      <w:r w:rsidR="00AF7D47" w:rsidRPr="00A17D9B">
        <w:rPr>
          <w:rFonts w:ascii="Garamond" w:hAnsi="Garamond"/>
          <w:noProof/>
          <w:sz w:val="24"/>
          <w:szCs w:val="24"/>
          <w:lang w:val="en-GB"/>
        </w:rPr>
        <w:t xml:space="preserve"> their appraisal of a given social phenomenon. This is precisely </w:t>
      </w:r>
      <w:r w:rsidR="004141A0" w:rsidRPr="00A17D9B">
        <w:rPr>
          <w:rFonts w:ascii="Garamond" w:hAnsi="Garamond"/>
          <w:noProof/>
          <w:sz w:val="24"/>
          <w:szCs w:val="24"/>
          <w:lang w:val="en-GB"/>
        </w:rPr>
        <w:t xml:space="preserve">the information </w:t>
      </w:r>
      <w:r w:rsidR="005B0378" w:rsidRPr="00A17D9B">
        <w:rPr>
          <w:rFonts w:ascii="Garamond" w:hAnsi="Garamond"/>
          <w:noProof/>
          <w:sz w:val="24"/>
          <w:szCs w:val="24"/>
          <w:lang w:val="en-GB"/>
        </w:rPr>
        <w:t>th</w:t>
      </w:r>
      <w:r w:rsidR="00AF7D47" w:rsidRPr="00A17D9B">
        <w:rPr>
          <w:rFonts w:ascii="Garamond" w:hAnsi="Garamond"/>
          <w:noProof/>
          <w:sz w:val="24"/>
          <w:szCs w:val="24"/>
          <w:lang w:val="en-GB"/>
        </w:rPr>
        <w:t xml:space="preserve">at we are looking for. </w:t>
      </w:r>
    </w:p>
    <w:p w14:paraId="6B47397E" w14:textId="6C96442A" w:rsidR="003A0863" w:rsidRPr="00A17D9B" w:rsidRDefault="005B0378" w:rsidP="007623CF">
      <w:pPr>
        <w:pStyle w:val="Subttulo"/>
        <w:spacing w:before="240" w:after="0"/>
        <w:jc w:val="right"/>
        <w:rPr>
          <w:noProof/>
          <w:lang w:val="en-GB"/>
        </w:rPr>
      </w:pPr>
      <w:r w:rsidRPr="00A17D9B">
        <w:rPr>
          <w:noProof/>
          <w:lang w:val="en-GB"/>
        </w:rPr>
        <w:t>Social Change and Tipping Point T</w:t>
      </w:r>
      <w:r w:rsidR="003A0863" w:rsidRPr="00A17D9B">
        <w:rPr>
          <w:noProof/>
          <w:lang w:val="en-GB"/>
        </w:rPr>
        <w:t>heories</w:t>
      </w:r>
    </w:p>
    <w:p w14:paraId="7921D7E5" w14:textId="183D40B7" w:rsidR="004141A0" w:rsidRPr="00A17D9B" w:rsidRDefault="005B0378" w:rsidP="006C7AD4">
      <w:pPr>
        <w:spacing w:before="120" w:after="0" w:line="320" w:lineRule="atLeast"/>
        <w:jc w:val="both"/>
        <w:rPr>
          <w:rFonts w:ascii="Garamond" w:hAnsi="Garamond"/>
          <w:noProof/>
          <w:sz w:val="24"/>
          <w:szCs w:val="24"/>
          <w:lang w:val="en-GB"/>
        </w:rPr>
      </w:pPr>
      <w:r w:rsidRPr="00A17D9B">
        <w:rPr>
          <w:rFonts w:ascii="Garamond" w:hAnsi="Garamond"/>
          <w:noProof/>
          <w:sz w:val="24"/>
          <w:szCs w:val="24"/>
          <w:lang w:val="en-GB"/>
        </w:rPr>
        <w:t xml:space="preserve">To make sense </w:t>
      </w:r>
      <w:r w:rsidR="004141A0" w:rsidRPr="00A17D9B">
        <w:rPr>
          <w:rFonts w:ascii="Garamond" w:hAnsi="Garamond"/>
          <w:noProof/>
          <w:sz w:val="24"/>
          <w:szCs w:val="24"/>
          <w:lang w:val="en-GB"/>
        </w:rPr>
        <w:t xml:space="preserve">of the </w:t>
      </w:r>
      <w:r w:rsidR="00D1619B" w:rsidRPr="00A17D9B">
        <w:rPr>
          <w:rFonts w:ascii="Garamond" w:hAnsi="Garamond"/>
          <w:noProof/>
          <w:sz w:val="24"/>
          <w:szCs w:val="24"/>
          <w:lang w:val="en-GB"/>
        </w:rPr>
        <w:t>metric’s data</w:t>
      </w:r>
      <w:r w:rsidR="004141A0" w:rsidRPr="00A17D9B">
        <w:rPr>
          <w:rFonts w:ascii="Garamond" w:hAnsi="Garamond"/>
          <w:noProof/>
          <w:sz w:val="24"/>
          <w:szCs w:val="24"/>
          <w:lang w:val="en-GB"/>
        </w:rPr>
        <w:t>, we borrow</w:t>
      </w:r>
      <w:r w:rsidR="00D1619B" w:rsidRPr="00A17D9B">
        <w:rPr>
          <w:rFonts w:ascii="Garamond" w:hAnsi="Garamond"/>
          <w:noProof/>
          <w:sz w:val="24"/>
          <w:szCs w:val="24"/>
          <w:lang w:val="en-GB"/>
        </w:rPr>
        <w:t>ed</w:t>
      </w:r>
      <w:r w:rsidR="004141A0" w:rsidRPr="00A17D9B">
        <w:rPr>
          <w:rFonts w:ascii="Garamond" w:hAnsi="Garamond"/>
          <w:noProof/>
          <w:sz w:val="24"/>
          <w:szCs w:val="24"/>
          <w:lang w:val="en-GB"/>
        </w:rPr>
        <w:t xml:space="preserve"> both from Bourdieu’s sociology and Granovetter’s theor</w:t>
      </w:r>
      <w:r w:rsidR="00D1619B" w:rsidRPr="00A17D9B">
        <w:rPr>
          <w:rFonts w:ascii="Garamond" w:hAnsi="Garamond"/>
          <w:noProof/>
          <w:sz w:val="24"/>
          <w:szCs w:val="24"/>
          <w:lang w:val="en-GB"/>
        </w:rPr>
        <w:t>y</w:t>
      </w:r>
      <w:r w:rsidR="004141A0" w:rsidRPr="00A17D9B">
        <w:rPr>
          <w:rFonts w:ascii="Garamond" w:hAnsi="Garamond"/>
          <w:noProof/>
          <w:sz w:val="24"/>
          <w:szCs w:val="24"/>
          <w:lang w:val="en-GB"/>
        </w:rPr>
        <w:t xml:space="preserve"> of tipping points</w:t>
      </w:r>
      <w:r w:rsidR="00E407F4" w:rsidRPr="00A17D9B">
        <w:rPr>
          <w:rFonts w:ascii="Garamond" w:hAnsi="Garamond"/>
          <w:noProof/>
          <w:sz w:val="24"/>
          <w:szCs w:val="24"/>
          <w:lang w:val="en-GB"/>
        </w:rPr>
        <w:t xml:space="preserve"> (</w:t>
      </w:r>
      <w:r w:rsidR="000212EF" w:rsidRPr="00A17D9B">
        <w:rPr>
          <w:rFonts w:ascii="Garamond" w:hAnsi="Garamond"/>
          <w:noProof/>
          <w:sz w:val="24"/>
          <w:szCs w:val="24"/>
          <w:lang w:val="en-GB"/>
        </w:rPr>
        <w:t>Granovetter 1978; 1983</w:t>
      </w:r>
      <w:r w:rsidR="00E407F4" w:rsidRPr="00A17D9B">
        <w:rPr>
          <w:rFonts w:ascii="Garamond" w:hAnsi="Garamond"/>
          <w:noProof/>
          <w:sz w:val="24"/>
          <w:szCs w:val="24"/>
          <w:lang w:val="en-GB"/>
        </w:rPr>
        <w:t>)</w:t>
      </w:r>
      <w:r w:rsidR="004141A0" w:rsidRPr="00A17D9B">
        <w:rPr>
          <w:rFonts w:ascii="Garamond" w:hAnsi="Garamond"/>
          <w:noProof/>
          <w:sz w:val="24"/>
          <w:szCs w:val="24"/>
          <w:lang w:val="en-GB"/>
        </w:rPr>
        <w:t>. Social order, say</w:t>
      </w:r>
      <w:r w:rsidRPr="00A17D9B">
        <w:rPr>
          <w:rFonts w:ascii="Garamond" w:hAnsi="Garamond"/>
          <w:noProof/>
          <w:sz w:val="24"/>
          <w:szCs w:val="24"/>
          <w:lang w:val="en-GB"/>
        </w:rPr>
        <w:t>s</w:t>
      </w:r>
      <w:r w:rsidR="004141A0" w:rsidRPr="00A17D9B">
        <w:rPr>
          <w:rFonts w:ascii="Garamond" w:hAnsi="Garamond"/>
          <w:noProof/>
          <w:sz w:val="24"/>
          <w:szCs w:val="24"/>
          <w:lang w:val="en-GB"/>
        </w:rPr>
        <w:t xml:space="preserve"> Bourdieu, always conveys a certain set of conviction</w:t>
      </w:r>
      <w:r w:rsidR="00D1619B" w:rsidRPr="00A17D9B">
        <w:rPr>
          <w:rFonts w:ascii="Garamond" w:hAnsi="Garamond"/>
          <w:noProof/>
          <w:sz w:val="24"/>
          <w:szCs w:val="24"/>
          <w:lang w:val="en-GB"/>
        </w:rPr>
        <w:t>s</w:t>
      </w:r>
      <w:r w:rsidR="004141A0" w:rsidRPr="00A17D9B">
        <w:rPr>
          <w:rFonts w:ascii="Garamond" w:hAnsi="Garamond"/>
          <w:noProof/>
          <w:sz w:val="24"/>
          <w:szCs w:val="24"/>
          <w:lang w:val="en-GB"/>
        </w:rPr>
        <w:t xml:space="preserve"> or belief</w:t>
      </w:r>
      <w:r w:rsidR="00D1619B" w:rsidRPr="00A17D9B">
        <w:rPr>
          <w:rFonts w:ascii="Garamond" w:hAnsi="Garamond"/>
          <w:noProof/>
          <w:sz w:val="24"/>
          <w:szCs w:val="24"/>
          <w:lang w:val="en-GB"/>
        </w:rPr>
        <w:t>s</w:t>
      </w:r>
      <w:r w:rsidR="004141A0" w:rsidRPr="00A17D9B">
        <w:rPr>
          <w:rFonts w:ascii="Garamond" w:hAnsi="Garamond"/>
          <w:noProof/>
          <w:sz w:val="24"/>
          <w:szCs w:val="24"/>
          <w:lang w:val="en-GB"/>
        </w:rPr>
        <w:t xml:space="preserve"> held as true by a population (</w:t>
      </w:r>
      <w:r w:rsidR="00D1619B" w:rsidRPr="00A17D9B">
        <w:rPr>
          <w:rFonts w:ascii="Garamond" w:hAnsi="Garamond"/>
          <w:noProof/>
          <w:sz w:val="24"/>
          <w:szCs w:val="24"/>
          <w:lang w:val="en-GB"/>
        </w:rPr>
        <w:t>Bourdieu, 1977, 168</w:t>
      </w:r>
      <w:r w:rsidR="004141A0" w:rsidRPr="00A17D9B">
        <w:rPr>
          <w:rFonts w:ascii="Garamond" w:hAnsi="Garamond"/>
          <w:noProof/>
          <w:sz w:val="24"/>
          <w:szCs w:val="24"/>
          <w:lang w:val="en-GB"/>
        </w:rPr>
        <w:t>). Whenever this large set of convictions and belief</w:t>
      </w:r>
      <w:r w:rsidR="00D1619B" w:rsidRPr="00A17D9B">
        <w:rPr>
          <w:rFonts w:ascii="Garamond" w:hAnsi="Garamond"/>
          <w:noProof/>
          <w:sz w:val="24"/>
          <w:szCs w:val="24"/>
          <w:lang w:val="en-GB"/>
        </w:rPr>
        <w:t>s</w:t>
      </w:r>
      <w:r w:rsidR="004141A0" w:rsidRPr="00A17D9B">
        <w:rPr>
          <w:rFonts w:ascii="Garamond" w:hAnsi="Garamond"/>
          <w:noProof/>
          <w:sz w:val="24"/>
          <w:szCs w:val="24"/>
          <w:lang w:val="en-GB"/>
        </w:rPr>
        <w:t xml:space="preserve"> is questioned by a population, social order becomes contested and therefore unstable. In certain circumstances, it will eventually collapse, revealing the inherent fragility of social structures or institutions previously held as stable. The nature of this collapse has attracted the attention of philosophers and sociologist</w:t>
      </w:r>
      <w:r w:rsidR="00D1619B" w:rsidRPr="00A17D9B">
        <w:rPr>
          <w:rFonts w:ascii="Garamond" w:hAnsi="Garamond"/>
          <w:noProof/>
          <w:sz w:val="24"/>
          <w:szCs w:val="24"/>
          <w:lang w:val="en-GB"/>
        </w:rPr>
        <w:t>s</w:t>
      </w:r>
      <w:r w:rsidR="004141A0" w:rsidRPr="00A17D9B">
        <w:rPr>
          <w:rFonts w:ascii="Garamond" w:hAnsi="Garamond"/>
          <w:noProof/>
          <w:sz w:val="24"/>
          <w:szCs w:val="24"/>
          <w:lang w:val="en-GB"/>
        </w:rPr>
        <w:t xml:space="preserve"> alike. Arendt, for example, in her studies of the genesis of Nazi Germany </w:t>
      </w:r>
      <w:r w:rsidR="004F2E27" w:rsidRPr="00A17D9B">
        <w:rPr>
          <w:rFonts w:ascii="Garamond" w:hAnsi="Garamond"/>
          <w:noProof/>
          <w:sz w:val="24"/>
          <w:szCs w:val="24"/>
          <w:lang w:val="en-GB"/>
        </w:rPr>
        <w:t xml:space="preserve">shows that the rupture of the Humanist spirit of the Weimar Republic did reach </w:t>
      </w:r>
      <w:r w:rsidRPr="00A17D9B">
        <w:rPr>
          <w:rFonts w:ascii="Garamond" w:hAnsi="Garamond"/>
          <w:noProof/>
          <w:sz w:val="24"/>
          <w:szCs w:val="24"/>
          <w:lang w:val="en-GB"/>
        </w:rPr>
        <w:t>a tipping point with the capturing</w:t>
      </w:r>
      <w:r w:rsidR="00A6221E" w:rsidRPr="00A17D9B">
        <w:rPr>
          <w:rFonts w:ascii="Garamond" w:hAnsi="Garamond"/>
          <w:noProof/>
          <w:sz w:val="24"/>
          <w:szCs w:val="24"/>
          <w:lang w:val="en-GB"/>
        </w:rPr>
        <w:t xml:space="preserve"> of the State by Nat</w:t>
      </w:r>
      <w:r w:rsidR="004F2E27" w:rsidRPr="00A17D9B">
        <w:rPr>
          <w:rFonts w:ascii="Garamond" w:hAnsi="Garamond"/>
          <w:noProof/>
          <w:sz w:val="24"/>
          <w:szCs w:val="24"/>
          <w:lang w:val="en-GB"/>
        </w:rPr>
        <w:t xml:space="preserve">ional Socialist in 1933. Suddenly the </w:t>
      </w:r>
      <w:r w:rsidR="00D1619B" w:rsidRPr="00A17D9B">
        <w:rPr>
          <w:rFonts w:ascii="Garamond" w:hAnsi="Garamond"/>
          <w:noProof/>
          <w:sz w:val="24"/>
          <w:szCs w:val="24"/>
          <w:lang w:val="en-GB"/>
        </w:rPr>
        <w:t xml:space="preserve">previous </w:t>
      </w:r>
      <w:r w:rsidR="004F2E27" w:rsidRPr="00A17D9B">
        <w:rPr>
          <w:rFonts w:ascii="Garamond" w:hAnsi="Garamond"/>
          <w:noProof/>
          <w:sz w:val="24"/>
          <w:szCs w:val="24"/>
          <w:lang w:val="en-GB"/>
        </w:rPr>
        <w:t xml:space="preserve">equilibrium was lost, law and institutions changed quickly and </w:t>
      </w:r>
      <w:r w:rsidR="00D1619B" w:rsidRPr="00A17D9B">
        <w:rPr>
          <w:rFonts w:ascii="Garamond" w:hAnsi="Garamond"/>
          <w:noProof/>
          <w:sz w:val="24"/>
          <w:szCs w:val="24"/>
          <w:lang w:val="en-GB"/>
        </w:rPr>
        <w:t>inhuman behaviours became the new social norm</w:t>
      </w:r>
      <w:r w:rsidR="004F2E27" w:rsidRPr="00A17D9B">
        <w:rPr>
          <w:rFonts w:ascii="Garamond" w:hAnsi="Garamond"/>
          <w:noProof/>
          <w:sz w:val="24"/>
          <w:szCs w:val="24"/>
          <w:lang w:val="en-GB"/>
        </w:rPr>
        <w:t>. Something similar struck Granovetter while studying the demographic changes of American suburbs in the 70’s</w:t>
      </w:r>
      <w:r w:rsidR="00D1619B" w:rsidRPr="00A17D9B">
        <w:rPr>
          <w:rFonts w:ascii="Garamond" w:hAnsi="Garamond"/>
          <w:noProof/>
          <w:sz w:val="24"/>
          <w:szCs w:val="24"/>
          <w:lang w:val="en-GB"/>
        </w:rPr>
        <w:t xml:space="preserve"> (1978)</w:t>
      </w:r>
      <w:r w:rsidR="004F2E27" w:rsidRPr="00A17D9B">
        <w:rPr>
          <w:rFonts w:ascii="Garamond" w:hAnsi="Garamond"/>
          <w:noProof/>
          <w:sz w:val="24"/>
          <w:szCs w:val="24"/>
          <w:lang w:val="en-GB"/>
        </w:rPr>
        <w:t>. White suburbs would ‘tolerate’ a certain level of black American population</w:t>
      </w:r>
      <w:r w:rsidR="00D1619B" w:rsidRPr="00A17D9B">
        <w:rPr>
          <w:rFonts w:ascii="Garamond" w:hAnsi="Garamond"/>
          <w:noProof/>
          <w:sz w:val="24"/>
          <w:szCs w:val="24"/>
          <w:lang w:val="en-GB"/>
        </w:rPr>
        <w:t>,</w:t>
      </w:r>
      <w:r w:rsidR="004F2E27" w:rsidRPr="00A17D9B">
        <w:rPr>
          <w:rFonts w:ascii="Garamond" w:hAnsi="Garamond"/>
          <w:noProof/>
          <w:sz w:val="24"/>
          <w:szCs w:val="24"/>
          <w:lang w:val="en-GB"/>
        </w:rPr>
        <w:t xml:space="preserve"> but once a certain </w:t>
      </w:r>
      <w:r w:rsidR="00D1619B" w:rsidRPr="00A17D9B">
        <w:rPr>
          <w:rFonts w:ascii="Garamond" w:hAnsi="Garamond"/>
          <w:noProof/>
          <w:sz w:val="24"/>
          <w:szCs w:val="24"/>
          <w:lang w:val="en-GB"/>
        </w:rPr>
        <w:t xml:space="preserve">critical mass </w:t>
      </w:r>
      <w:r w:rsidR="004F2E27" w:rsidRPr="00A17D9B">
        <w:rPr>
          <w:rFonts w:ascii="Garamond" w:hAnsi="Garamond"/>
          <w:noProof/>
          <w:sz w:val="24"/>
          <w:szCs w:val="24"/>
          <w:lang w:val="en-GB"/>
        </w:rPr>
        <w:t xml:space="preserve">was reached, then a tip could be observed, with </w:t>
      </w:r>
      <w:r w:rsidR="00D1619B" w:rsidRPr="00A17D9B">
        <w:rPr>
          <w:rFonts w:ascii="Garamond" w:hAnsi="Garamond"/>
          <w:noProof/>
          <w:sz w:val="24"/>
          <w:szCs w:val="24"/>
          <w:lang w:val="en-GB"/>
        </w:rPr>
        <w:t xml:space="preserve">the </w:t>
      </w:r>
      <w:r w:rsidR="004F2E27" w:rsidRPr="00A17D9B">
        <w:rPr>
          <w:rFonts w:ascii="Garamond" w:hAnsi="Garamond"/>
          <w:noProof/>
          <w:sz w:val="24"/>
          <w:szCs w:val="24"/>
          <w:lang w:val="en-GB"/>
        </w:rPr>
        <w:t xml:space="preserve">white population </w:t>
      </w:r>
      <w:r w:rsidR="00D1619B" w:rsidRPr="00A17D9B">
        <w:rPr>
          <w:rFonts w:ascii="Garamond" w:hAnsi="Garamond"/>
          <w:noProof/>
          <w:sz w:val="24"/>
          <w:szCs w:val="24"/>
          <w:lang w:val="en-GB"/>
        </w:rPr>
        <w:t xml:space="preserve">quickly fleeing </w:t>
      </w:r>
      <w:r w:rsidR="00A6221E" w:rsidRPr="00A17D9B">
        <w:rPr>
          <w:rFonts w:ascii="Garamond" w:hAnsi="Garamond"/>
          <w:noProof/>
          <w:sz w:val="24"/>
          <w:szCs w:val="24"/>
          <w:lang w:val="en-GB"/>
        </w:rPr>
        <w:t>the suburbs to settle</w:t>
      </w:r>
      <w:r w:rsidR="004F2E27" w:rsidRPr="00A17D9B">
        <w:rPr>
          <w:rFonts w:ascii="Garamond" w:hAnsi="Garamond"/>
          <w:noProof/>
          <w:sz w:val="24"/>
          <w:szCs w:val="24"/>
          <w:lang w:val="en-GB"/>
        </w:rPr>
        <w:t xml:space="preserve"> elsewhere</w:t>
      </w:r>
      <w:r w:rsidR="00482B77" w:rsidRPr="00A17D9B">
        <w:rPr>
          <w:rFonts w:ascii="Garamond" w:hAnsi="Garamond"/>
          <w:noProof/>
          <w:sz w:val="24"/>
          <w:szCs w:val="24"/>
          <w:lang w:val="en-GB"/>
        </w:rPr>
        <w:t>. These quick changes of equilibrium in social structures are the one</w:t>
      </w:r>
      <w:r w:rsidR="00A6221E" w:rsidRPr="00A17D9B">
        <w:rPr>
          <w:rFonts w:ascii="Garamond" w:hAnsi="Garamond"/>
          <w:noProof/>
          <w:sz w:val="24"/>
          <w:szCs w:val="24"/>
          <w:lang w:val="en-GB"/>
        </w:rPr>
        <w:t>s</w:t>
      </w:r>
      <w:r w:rsidR="00482B77" w:rsidRPr="00A17D9B">
        <w:rPr>
          <w:rFonts w:ascii="Garamond" w:hAnsi="Garamond"/>
          <w:noProof/>
          <w:sz w:val="24"/>
          <w:szCs w:val="24"/>
          <w:lang w:val="en-GB"/>
        </w:rPr>
        <w:t xml:space="preserve"> </w:t>
      </w:r>
      <w:r w:rsidR="00D1619B" w:rsidRPr="00A17D9B">
        <w:rPr>
          <w:rFonts w:ascii="Garamond" w:hAnsi="Garamond"/>
          <w:noProof/>
          <w:sz w:val="24"/>
          <w:szCs w:val="24"/>
          <w:lang w:val="en-GB"/>
        </w:rPr>
        <w:t>we are interested in (we are looking for the dynamic</w:t>
      </w:r>
      <w:r w:rsidR="00A6221E" w:rsidRPr="00A17D9B">
        <w:rPr>
          <w:rFonts w:ascii="Garamond" w:hAnsi="Garamond"/>
          <w:noProof/>
          <w:sz w:val="24"/>
          <w:szCs w:val="24"/>
          <w:lang w:val="en-GB"/>
        </w:rPr>
        <w:t>s</w:t>
      </w:r>
      <w:r w:rsidR="00D1619B" w:rsidRPr="00A17D9B">
        <w:rPr>
          <w:rFonts w:ascii="Garamond" w:hAnsi="Garamond"/>
          <w:noProof/>
          <w:sz w:val="24"/>
          <w:szCs w:val="24"/>
          <w:lang w:val="en-GB"/>
        </w:rPr>
        <w:t xml:space="preserve"> of social processes)</w:t>
      </w:r>
      <w:r w:rsidR="00482B77" w:rsidRPr="00A17D9B">
        <w:rPr>
          <w:rFonts w:ascii="Garamond" w:hAnsi="Garamond"/>
          <w:noProof/>
          <w:sz w:val="24"/>
          <w:szCs w:val="24"/>
          <w:lang w:val="en-GB"/>
        </w:rPr>
        <w:t xml:space="preserve">. </w:t>
      </w:r>
      <w:r w:rsidR="004F2E27" w:rsidRPr="00A17D9B">
        <w:rPr>
          <w:rFonts w:ascii="Garamond" w:hAnsi="Garamond"/>
          <w:noProof/>
          <w:sz w:val="24"/>
          <w:szCs w:val="24"/>
          <w:lang w:val="en-GB"/>
        </w:rPr>
        <w:t xml:space="preserve">  </w:t>
      </w:r>
    </w:p>
    <w:p w14:paraId="1A9CE4CA" w14:textId="7F7F60F4" w:rsidR="00E02BF4" w:rsidRPr="00A17D9B" w:rsidRDefault="00482B77" w:rsidP="006C7AD4">
      <w:pPr>
        <w:spacing w:before="120" w:after="0" w:line="320" w:lineRule="atLeast"/>
        <w:jc w:val="both"/>
        <w:rPr>
          <w:rFonts w:ascii="Garamond" w:hAnsi="Garamond"/>
          <w:noProof/>
          <w:sz w:val="24"/>
          <w:szCs w:val="24"/>
          <w:lang w:val="en-GB"/>
        </w:rPr>
      </w:pPr>
      <w:r w:rsidRPr="00A17D9B">
        <w:rPr>
          <w:rFonts w:ascii="Garamond" w:hAnsi="Garamond"/>
          <w:noProof/>
          <w:sz w:val="24"/>
          <w:szCs w:val="24"/>
          <w:lang w:val="en-GB"/>
        </w:rPr>
        <w:t xml:space="preserve">Indeed, the questions </w:t>
      </w:r>
      <w:r w:rsidR="00D1619B" w:rsidRPr="00A17D9B">
        <w:rPr>
          <w:rFonts w:ascii="Garamond" w:hAnsi="Garamond"/>
          <w:noProof/>
          <w:sz w:val="24"/>
          <w:szCs w:val="24"/>
          <w:lang w:val="en-GB"/>
        </w:rPr>
        <w:t xml:space="preserve">of the metric </w:t>
      </w:r>
      <w:r w:rsidR="00D96FE1" w:rsidRPr="00A17D9B">
        <w:rPr>
          <w:rFonts w:ascii="Garamond" w:hAnsi="Garamond"/>
          <w:noProof/>
          <w:sz w:val="24"/>
          <w:szCs w:val="24"/>
          <w:lang w:val="en-GB"/>
        </w:rPr>
        <w:t xml:space="preserve">are meant to map and inform about the strength of the five key drivers of common good dynamics. </w:t>
      </w:r>
      <w:r w:rsidRPr="00A17D9B">
        <w:rPr>
          <w:rFonts w:ascii="Garamond" w:hAnsi="Garamond"/>
          <w:noProof/>
          <w:sz w:val="24"/>
          <w:szCs w:val="24"/>
          <w:lang w:val="en-GB"/>
        </w:rPr>
        <w:t xml:space="preserve">The answers - along the Likert scale - allow us to appraise </w:t>
      </w:r>
      <w:r w:rsidR="00EB3202" w:rsidRPr="00A17D9B">
        <w:rPr>
          <w:rFonts w:ascii="Garamond" w:hAnsi="Garamond"/>
          <w:noProof/>
          <w:sz w:val="24"/>
          <w:szCs w:val="24"/>
          <w:lang w:val="en-GB"/>
        </w:rPr>
        <w:t xml:space="preserve">the </w:t>
      </w:r>
      <w:r w:rsidR="00EB3202" w:rsidRPr="00A17D9B">
        <w:rPr>
          <w:rFonts w:ascii="Garamond" w:hAnsi="Garamond"/>
          <w:i/>
          <w:iCs/>
          <w:noProof/>
          <w:sz w:val="24"/>
          <w:szCs w:val="24"/>
          <w:lang w:val="en-GB"/>
        </w:rPr>
        <w:t>social consensus sustaining them</w:t>
      </w:r>
      <w:r w:rsidRPr="00A17D9B">
        <w:rPr>
          <w:rFonts w:ascii="Garamond" w:hAnsi="Garamond"/>
          <w:noProof/>
          <w:sz w:val="24"/>
          <w:szCs w:val="24"/>
          <w:lang w:val="en-GB"/>
        </w:rPr>
        <w:t xml:space="preserve"> and therefore </w:t>
      </w:r>
      <w:r w:rsidRPr="00A17D9B">
        <w:rPr>
          <w:rFonts w:ascii="Garamond" w:hAnsi="Garamond"/>
          <w:i/>
          <w:iCs/>
          <w:noProof/>
          <w:sz w:val="24"/>
          <w:szCs w:val="24"/>
          <w:lang w:val="en-GB"/>
        </w:rPr>
        <w:t>map the strength of each key driver</w:t>
      </w:r>
      <w:r w:rsidR="00EB3202" w:rsidRPr="00A17D9B">
        <w:rPr>
          <w:rFonts w:ascii="Garamond" w:hAnsi="Garamond"/>
          <w:noProof/>
          <w:sz w:val="24"/>
          <w:szCs w:val="24"/>
          <w:lang w:val="en-GB"/>
        </w:rPr>
        <w:t>.</w:t>
      </w:r>
      <w:r w:rsidRPr="00A17D9B">
        <w:rPr>
          <w:rFonts w:ascii="Garamond" w:hAnsi="Garamond"/>
          <w:noProof/>
          <w:sz w:val="24"/>
          <w:szCs w:val="24"/>
          <w:lang w:val="en-GB"/>
        </w:rPr>
        <w:t xml:space="preserve"> We need</w:t>
      </w:r>
      <w:r w:rsidR="00A6221E" w:rsidRPr="00A17D9B">
        <w:rPr>
          <w:rFonts w:ascii="Garamond" w:hAnsi="Garamond"/>
          <w:noProof/>
          <w:sz w:val="24"/>
          <w:szCs w:val="24"/>
          <w:lang w:val="en-GB"/>
        </w:rPr>
        <w:t xml:space="preserve"> to</w:t>
      </w:r>
      <w:r w:rsidRPr="00A17D9B">
        <w:rPr>
          <w:rFonts w:ascii="Garamond" w:hAnsi="Garamond"/>
          <w:noProof/>
          <w:sz w:val="24"/>
          <w:szCs w:val="24"/>
          <w:lang w:val="en-GB"/>
        </w:rPr>
        <w:t xml:space="preserve"> remember that the question</w:t>
      </w:r>
      <w:r w:rsidR="00D1619B" w:rsidRPr="00A17D9B">
        <w:rPr>
          <w:rFonts w:ascii="Garamond" w:hAnsi="Garamond"/>
          <w:noProof/>
          <w:sz w:val="24"/>
          <w:szCs w:val="24"/>
          <w:lang w:val="en-GB"/>
        </w:rPr>
        <w:t>s</w:t>
      </w:r>
      <w:r w:rsidRPr="00A17D9B">
        <w:rPr>
          <w:rFonts w:ascii="Garamond" w:hAnsi="Garamond"/>
          <w:noProof/>
          <w:sz w:val="24"/>
          <w:szCs w:val="24"/>
          <w:lang w:val="en-GB"/>
        </w:rPr>
        <w:t xml:space="preserve"> try to capture </w:t>
      </w:r>
      <w:r w:rsidR="004D72AC" w:rsidRPr="00A17D9B">
        <w:rPr>
          <w:rFonts w:ascii="Garamond" w:hAnsi="Garamond"/>
          <w:noProof/>
          <w:sz w:val="24"/>
          <w:szCs w:val="24"/>
          <w:lang w:val="en-GB"/>
        </w:rPr>
        <w:t>a social reality, that is</w:t>
      </w:r>
      <w:r w:rsidR="00A6221E" w:rsidRPr="00A17D9B">
        <w:rPr>
          <w:rFonts w:ascii="Garamond" w:hAnsi="Garamond"/>
          <w:noProof/>
          <w:sz w:val="24"/>
          <w:szCs w:val="24"/>
          <w:lang w:val="en-GB"/>
        </w:rPr>
        <w:t xml:space="preserve">, </w:t>
      </w:r>
      <w:r w:rsidR="004D72AC" w:rsidRPr="00A17D9B">
        <w:rPr>
          <w:rFonts w:ascii="Garamond" w:hAnsi="Garamond"/>
          <w:noProof/>
          <w:sz w:val="24"/>
          <w:szCs w:val="24"/>
          <w:lang w:val="en-GB"/>
        </w:rPr>
        <w:t xml:space="preserve"> the social order prevailing in the locality</w:t>
      </w:r>
      <w:r w:rsidRPr="00A17D9B">
        <w:rPr>
          <w:rFonts w:ascii="Garamond" w:hAnsi="Garamond"/>
          <w:noProof/>
          <w:sz w:val="24"/>
          <w:szCs w:val="24"/>
          <w:lang w:val="en-GB"/>
        </w:rPr>
        <w:t xml:space="preserve">. </w:t>
      </w:r>
      <w:r w:rsidR="004D72AC" w:rsidRPr="00A17D9B">
        <w:rPr>
          <w:rFonts w:ascii="Garamond" w:hAnsi="Garamond"/>
          <w:noProof/>
          <w:sz w:val="24"/>
          <w:szCs w:val="24"/>
          <w:lang w:val="en-GB"/>
        </w:rPr>
        <w:t xml:space="preserve">While the </w:t>
      </w:r>
      <w:r w:rsidR="00E02BF4" w:rsidRPr="00A17D9B">
        <w:rPr>
          <w:rFonts w:ascii="Garamond" w:hAnsi="Garamond"/>
          <w:noProof/>
          <w:sz w:val="24"/>
          <w:szCs w:val="24"/>
          <w:lang w:val="en-GB"/>
        </w:rPr>
        <w:t xml:space="preserve">perception </w:t>
      </w:r>
      <w:r w:rsidR="004D72AC" w:rsidRPr="00A17D9B">
        <w:rPr>
          <w:rFonts w:ascii="Garamond" w:hAnsi="Garamond"/>
          <w:noProof/>
          <w:sz w:val="24"/>
          <w:szCs w:val="24"/>
          <w:lang w:val="en-GB"/>
        </w:rPr>
        <w:t xml:space="preserve">may be </w:t>
      </w:r>
      <w:r w:rsidR="00E02BF4" w:rsidRPr="00A17D9B">
        <w:rPr>
          <w:rFonts w:ascii="Garamond" w:hAnsi="Garamond"/>
          <w:noProof/>
          <w:sz w:val="24"/>
          <w:szCs w:val="24"/>
          <w:lang w:val="en-GB"/>
        </w:rPr>
        <w:t xml:space="preserve">individual, </w:t>
      </w:r>
      <w:r w:rsidR="004D72AC" w:rsidRPr="00A17D9B">
        <w:rPr>
          <w:rFonts w:ascii="Garamond" w:hAnsi="Garamond"/>
          <w:noProof/>
          <w:sz w:val="24"/>
          <w:szCs w:val="24"/>
          <w:lang w:val="en-GB"/>
        </w:rPr>
        <w:t xml:space="preserve">the social structure and its related social </w:t>
      </w:r>
      <w:r w:rsidR="004D72AC" w:rsidRPr="00A17D9B">
        <w:rPr>
          <w:rFonts w:ascii="Garamond" w:hAnsi="Garamond"/>
          <w:noProof/>
          <w:sz w:val="24"/>
          <w:szCs w:val="24"/>
          <w:lang w:val="en-GB"/>
        </w:rPr>
        <w:lastRenderedPageBreak/>
        <w:t>practice are a shared reality, rather felt by individuals as ‘objective’</w:t>
      </w:r>
      <w:r w:rsidR="00E02BF4" w:rsidRPr="00A17D9B">
        <w:rPr>
          <w:rFonts w:ascii="Garamond" w:hAnsi="Garamond"/>
          <w:noProof/>
          <w:sz w:val="24"/>
          <w:szCs w:val="24"/>
          <w:lang w:val="en-GB"/>
        </w:rPr>
        <w:t xml:space="preserve">. </w:t>
      </w:r>
      <w:r w:rsidR="004D72AC" w:rsidRPr="00A17D9B">
        <w:rPr>
          <w:rFonts w:ascii="Garamond" w:hAnsi="Garamond"/>
          <w:noProof/>
          <w:sz w:val="24"/>
          <w:szCs w:val="24"/>
          <w:lang w:val="en-GB"/>
        </w:rPr>
        <w:t>To make it clear, w</w:t>
      </w:r>
      <w:r w:rsidR="00E02BF4" w:rsidRPr="00A17D9B">
        <w:rPr>
          <w:rFonts w:ascii="Garamond" w:hAnsi="Garamond"/>
          <w:noProof/>
          <w:sz w:val="24"/>
          <w:szCs w:val="24"/>
          <w:lang w:val="en-GB"/>
        </w:rPr>
        <w:t xml:space="preserve">e do not inquire </w:t>
      </w:r>
      <w:r w:rsidR="004D72AC" w:rsidRPr="00A17D9B">
        <w:rPr>
          <w:rFonts w:ascii="Garamond" w:hAnsi="Garamond"/>
          <w:noProof/>
          <w:sz w:val="24"/>
          <w:szCs w:val="24"/>
          <w:lang w:val="en-GB"/>
        </w:rPr>
        <w:t xml:space="preserve">about </w:t>
      </w:r>
      <w:r w:rsidR="00E02BF4" w:rsidRPr="00A17D9B">
        <w:rPr>
          <w:rFonts w:ascii="Garamond" w:hAnsi="Garamond"/>
          <w:noProof/>
          <w:sz w:val="24"/>
          <w:szCs w:val="24"/>
          <w:lang w:val="en-GB"/>
        </w:rPr>
        <w:t>the respondent</w:t>
      </w:r>
      <w:r w:rsidR="00A6221E" w:rsidRPr="00A17D9B">
        <w:rPr>
          <w:rFonts w:ascii="Garamond" w:hAnsi="Garamond"/>
          <w:noProof/>
          <w:sz w:val="24"/>
          <w:szCs w:val="24"/>
          <w:lang w:val="en-GB"/>
        </w:rPr>
        <w:t>’s</w:t>
      </w:r>
      <w:r w:rsidR="00E02BF4" w:rsidRPr="00A17D9B">
        <w:rPr>
          <w:rFonts w:ascii="Garamond" w:hAnsi="Garamond"/>
          <w:noProof/>
          <w:sz w:val="24"/>
          <w:szCs w:val="24"/>
          <w:lang w:val="en-GB"/>
        </w:rPr>
        <w:t xml:space="preserve"> </w:t>
      </w:r>
      <w:r w:rsidR="004D72AC" w:rsidRPr="00A17D9B">
        <w:rPr>
          <w:rFonts w:ascii="Garamond" w:hAnsi="Garamond"/>
          <w:noProof/>
          <w:sz w:val="24"/>
          <w:szCs w:val="24"/>
          <w:lang w:val="en-GB"/>
        </w:rPr>
        <w:t xml:space="preserve">personal </w:t>
      </w:r>
      <w:r w:rsidR="00E02BF4" w:rsidRPr="00A17D9B">
        <w:rPr>
          <w:rFonts w:ascii="Garamond" w:hAnsi="Garamond"/>
          <w:noProof/>
          <w:sz w:val="24"/>
          <w:szCs w:val="24"/>
          <w:lang w:val="en-GB"/>
        </w:rPr>
        <w:t xml:space="preserve">opinion about the social order, but what kind of social order </w:t>
      </w:r>
      <w:r w:rsidR="004D72AC" w:rsidRPr="00A17D9B">
        <w:rPr>
          <w:rFonts w:ascii="Garamond" w:hAnsi="Garamond"/>
          <w:noProof/>
          <w:sz w:val="24"/>
          <w:szCs w:val="24"/>
          <w:lang w:val="en-GB"/>
        </w:rPr>
        <w:t xml:space="preserve">constrains his as well as other’s behaviors </w:t>
      </w:r>
      <w:r w:rsidR="00E02BF4" w:rsidRPr="00A17D9B">
        <w:rPr>
          <w:rFonts w:ascii="Garamond" w:hAnsi="Garamond"/>
          <w:noProof/>
          <w:sz w:val="24"/>
          <w:szCs w:val="24"/>
          <w:lang w:val="en-GB"/>
        </w:rPr>
        <w:t xml:space="preserve">in the </w:t>
      </w:r>
      <w:r w:rsidR="004D72AC" w:rsidRPr="00A17D9B">
        <w:rPr>
          <w:rFonts w:ascii="Garamond" w:hAnsi="Garamond"/>
          <w:noProof/>
          <w:sz w:val="24"/>
          <w:szCs w:val="24"/>
          <w:lang w:val="en-GB"/>
        </w:rPr>
        <w:t>locality</w:t>
      </w:r>
      <w:r w:rsidR="00E02BF4" w:rsidRPr="00A17D9B">
        <w:rPr>
          <w:rFonts w:ascii="Garamond" w:hAnsi="Garamond"/>
          <w:noProof/>
          <w:sz w:val="24"/>
          <w:szCs w:val="24"/>
          <w:lang w:val="en-GB"/>
        </w:rPr>
        <w:t xml:space="preserve">. </w:t>
      </w:r>
    </w:p>
    <w:p w14:paraId="44AB0B44" w14:textId="232C8B41" w:rsidR="00D96FE1" w:rsidRPr="00A17D9B" w:rsidRDefault="004D72AC" w:rsidP="006C7AD4">
      <w:pPr>
        <w:spacing w:before="120" w:after="0" w:line="320" w:lineRule="atLeast"/>
        <w:jc w:val="both"/>
        <w:rPr>
          <w:rFonts w:ascii="Garamond" w:hAnsi="Garamond"/>
          <w:noProof/>
          <w:sz w:val="24"/>
          <w:szCs w:val="24"/>
          <w:lang w:val="en-GB"/>
        </w:rPr>
      </w:pPr>
      <w:r w:rsidRPr="00A17D9B">
        <w:rPr>
          <w:rFonts w:ascii="Garamond" w:hAnsi="Garamond"/>
          <w:noProof/>
          <w:sz w:val="24"/>
          <w:szCs w:val="24"/>
          <w:lang w:val="en-GB"/>
        </w:rPr>
        <w:t>Therefore, t</w:t>
      </w:r>
      <w:r w:rsidR="00EB3202" w:rsidRPr="00A17D9B">
        <w:rPr>
          <w:rFonts w:ascii="Garamond" w:hAnsi="Garamond"/>
          <w:noProof/>
          <w:sz w:val="24"/>
          <w:szCs w:val="24"/>
          <w:lang w:val="en-GB"/>
        </w:rPr>
        <w:t xml:space="preserve">he </w:t>
      </w:r>
      <w:r w:rsidR="00E02BF4" w:rsidRPr="00A17D9B">
        <w:rPr>
          <w:rFonts w:ascii="Garamond" w:hAnsi="Garamond"/>
          <w:noProof/>
          <w:sz w:val="24"/>
          <w:szCs w:val="24"/>
          <w:lang w:val="en-GB"/>
        </w:rPr>
        <w:t xml:space="preserve">distribution </w:t>
      </w:r>
      <w:r w:rsidR="00EB3202" w:rsidRPr="00A17D9B">
        <w:rPr>
          <w:rFonts w:ascii="Garamond" w:hAnsi="Garamond"/>
          <w:noProof/>
          <w:sz w:val="24"/>
          <w:szCs w:val="24"/>
          <w:lang w:val="en-GB"/>
        </w:rPr>
        <w:t xml:space="preserve">of answers </w:t>
      </w:r>
      <w:r w:rsidRPr="00A17D9B">
        <w:rPr>
          <w:rFonts w:ascii="Garamond" w:hAnsi="Garamond"/>
          <w:noProof/>
          <w:sz w:val="24"/>
          <w:szCs w:val="24"/>
          <w:lang w:val="en-GB"/>
        </w:rPr>
        <w:t xml:space="preserve">along the Likert scale </w:t>
      </w:r>
      <w:r w:rsidR="00F94340" w:rsidRPr="00A17D9B">
        <w:rPr>
          <w:rFonts w:ascii="Garamond" w:hAnsi="Garamond"/>
          <w:noProof/>
          <w:sz w:val="24"/>
          <w:szCs w:val="24"/>
          <w:lang w:val="en-GB"/>
        </w:rPr>
        <w:t xml:space="preserve">help us </w:t>
      </w:r>
      <w:r w:rsidR="00E02BF4" w:rsidRPr="00A17D9B">
        <w:rPr>
          <w:rFonts w:ascii="Garamond" w:hAnsi="Garamond"/>
          <w:noProof/>
          <w:sz w:val="24"/>
          <w:szCs w:val="24"/>
          <w:lang w:val="en-GB"/>
        </w:rPr>
        <w:t xml:space="preserve">understand </w:t>
      </w:r>
      <w:r w:rsidR="00EB3202" w:rsidRPr="00A17D9B">
        <w:rPr>
          <w:rFonts w:ascii="Garamond" w:hAnsi="Garamond"/>
          <w:noProof/>
          <w:sz w:val="24"/>
          <w:szCs w:val="24"/>
          <w:lang w:val="en-GB"/>
        </w:rPr>
        <w:t xml:space="preserve">the strength of </w:t>
      </w:r>
      <w:r w:rsidR="00E02BF4" w:rsidRPr="00A17D9B">
        <w:rPr>
          <w:rFonts w:ascii="Garamond" w:hAnsi="Garamond"/>
          <w:noProof/>
          <w:sz w:val="24"/>
          <w:szCs w:val="24"/>
          <w:lang w:val="en-GB"/>
        </w:rPr>
        <w:t xml:space="preserve">the </w:t>
      </w:r>
      <w:r w:rsidR="00EB3202" w:rsidRPr="00A17D9B">
        <w:rPr>
          <w:rFonts w:ascii="Garamond" w:hAnsi="Garamond"/>
          <w:noProof/>
          <w:sz w:val="24"/>
          <w:szCs w:val="24"/>
          <w:lang w:val="en-GB"/>
        </w:rPr>
        <w:t>key drivers.</w:t>
      </w:r>
      <w:r w:rsidR="00E02BF4" w:rsidRPr="00A17D9B">
        <w:rPr>
          <w:rFonts w:ascii="Garamond" w:hAnsi="Garamond"/>
          <w:noProof/>
          <w:sz w:val="24"/>
          <w:szCs w:val="24"/>
          <w:lang w:val="en-GB"/>
        </w:rPr>
        <w:t xml:space="preserve"> The </w:t>
      </w:r>
      <w:r w:rsidR="00EB3202" w:rsidRPr="00A17D9B">
        <w:rPr>
          <w:rFonts w:ascii="Garamond" w:hAnsi="Garamond"/>
          <w:noProof/>
          <w:sz w:val="24"/>
          <w:szCs w:val="24"/>
          <w:lang w:val="en-GB"/>
        </w:rPr>
        <w:t>more dispersed</w:t>
      </w:r>
      <w:r w:rsidR="00E02BF4" w:rsidRPr="00A17D9B">
        <w:rPr>
          <w:rFonts w:ascii="Garamond" w:hAnsi="Garamond"/>
          <w:noProof/>
          <w:sz w:val="24"/>
          <w:szCs w:val="24"/>
          <w:lang w:val="en-GB"/>
        </w:rPr>
        <w:t xml:space="preserve"> the answers</w:t>
      </w:r>
      <w:r w:rsidR="00EB3202" w:rsidRPr="00A17D9B">
        <w:rPr>
          <w:rFonts w:ascii="Garamond" w:hAnsi="Garamond"/>
          <w:noProof/>
          <w:sz w:val="24"/>
          <w:szCs w:val="24"/>
          <w:lang w:val="en-GB"/>
        </w:rPr>
        <w:t xml:space="preserve">, the less prevalent is </w:t>
      </w:r>
      <w:r w:rsidR="00E02BF4" w:rsidRPr="00A17D9B">
        <w:rPr>
          <w:rFonts w:ascii="Garamond" w:hAnsi="Garamond"/>
          <w:noProof/>
          <w:sz w:val="24"/>
          <w:szCs w:val="24"/>
          <w:lang w:val="en-GB"/>
        </w:rPr>
        <w:t xml:space="preserve">a specific aspect of </w:t>
      </w:r>
      <w:r w:rsidR="00EB3202" w:rsidRPr="00A17D9B">
        <w:rPr>
          <w:rFonts w:ascii="Garamond" w:hAnsi="Garamond"/>
          <w:noProof/>
          <w:sz w:val="24"/>
          <w:szCs w:val="24"/>
          <w:lang w:val="en-GB"/>
        </w:rPr>
        <w:t xml:space="preserve">social </w:t>
      </w:r>
      <w:r w:rsidR="00E02BF4" w:rsidRPr="00A17D9B">
        <w:rPr>
          <w:rFonts w:ascii="Garamond" w:hAnsi="Garamond"/>
          <w:noProof/>
          <w:sz w:val="24"/>
          <w:szCs w:val="24"/>
          <w:lang w:val="en-GB"/>
        </w:rPr>
        <w:t>order, and conversely more undecided the norms that should rule social behaviors</w:t>
      </w:r>
      <w:r w:rsidR="00EB3202" w:rsidRPr="00A17D9B">
        <w:rPr>
          <w:rFonts w:ascii="Garamond" w:hAnsi="Garamond"/>
          <w:noProof/>
          <w:sz w:val="24"/>
          <w:szCs w:val="24"/>
          <w:lang w:val="en-GB"/>
        </w:rPr>
        <w:t xml:space="preserve">. </w:t>
      </w:r>
      <w:r w:rsidR="00A71F34" w:rsidRPr="00A17D9B">
        <w:rPr>
          <w:rFonts w:ascii="Garamond" w:hAnsi="Garamond"/>
          <w:noProof/>
          <w:sz w:val="24"/>
          <w:szCs w:val="24"/>
          <w:lang w:val="en-GB"/>
        </w:rPr>
        <w:t xml:space="preserve">We may recognize here </w:t>
      </w:r>
      <w:r w:rsidR="00EB3202" w:rsidRPr="00A17D9B">
        <w:rPr>
          <w:rFonts w:ascii="Garamond" w:hAnsi="Garamond"/>
          <w:noProof/>
          <w:sz w:val="24"/>
          <w:szCs w:val="24"/>
          <w:lang w:val="en-GB"/>
        </w:rPr>
        <w:t>Durkheim</w:t>
      </w:r>
      <w:r w:rsidR="00A71F34" w:rsidRPr="00A17D9B">
        <w:rPr>
          <w:rFonts w:ascii="Garamond" w:hAnsi="Garamond"/>
          <w:noProof/>
          <w:sz w:val="24"/>
          <w:szCs w:val="24"/>
          <w:lang w:val="en-GB"/>
        </w:rPr>
        <w:t>’s</w:t>
      </w:r>
      <w:r w:rsidR="00EB3202" w:rsidRPr="00A17D9B">
        <w:rPr>
          <w:rFonts w:ascii="Garamond" w:hAnsi="Garamond"/>
          <w:noProof/>
          <w:sz w:val="24"/>
          <w:szCs w:val="24"/>
          <w:lang w:val="en-GB"/>
        </w:rPr>
        <w:t xml:space="preserve"> notion of </w:t>
      </w:r>
      <w:r w:rsidR="00EB3202" w:rsidRPr="00A17D9B">
        <w:rPr>
          <w:rFonts w:ascii="Garamond" w:hAnsi="Garamond"/>
          <w:i/>
          <w:iCs/>
          <w:noProof/>
          <w:sz w:val="24"/>
          <w:szCs w:val="24"/>
          <w:lang w:val="en-GB"/>
        </w:rPr>
        <w:t>anomia</w:t>
      </w:r>
      <w:r w:rsidR="00A71F34" w:rsidRPr="00A17D9B">
        <w:rPr>
          <w:rFonts w:ascii="Garamond" w:hAnsi="Garamond"/>
          <w:i/>
          <w:iCs/>
          <w:noProof/>
          <w:sz w:val="24"/>
          <w:szCs w:val="24"/>
          <w:lang w:val="en-GB"/>
        </w:rPr>
        <w:t xml:space="preserve">, </w:t>
      </w:r>
      <w:r w:rsidR="00A71F34" w:rsidRPr="00A17D9B">
        <w:rPr>
          <w:rFonts w:ascii="Garamond" w:hAnsi="Garamond"/>
          <w:noProof/>
          <w:sz w:val="24"/>
          <w:szCs w:val="24"/>
          <w:lang w:val="en-GB"/>
        </w:rPr>
        <w:t>which</w:t>
      </w:r>
      <w:r w:rsidR="00A71F34" w:rsidRPr="00A17D9B">
        <w:rPr>
          <w:rFonts w:ascii="Garamond" w:hAnsi="Garamond"/>
          <w:i/>
          <w:iCs/>
          <w:noProof/>
          <w:sz w:val="24"/>
          <w:szCs w:val="24"/>
          <w:lang w:val="en-GB"/>
        </w:rPr>
        <w:t xml:space="preserve"> </w:t>
      </w:r>
      <w:r w:rsidR="00A71F34" w:rsidRPr="00A17D9B">
        <w:rPr>
          <w:rFonts w:ascii="Garamond" w:hAnsi="Garamond"/>
          <w:noProof/>
          <w:sz w:val="24"/>
          <w:szCs w:val="24"/>
          <w:lang w:val="en-GB"/>
        </w:rPr>
        <w:t>describes</w:t>
      </w:r>
      <w:r w:rsidR="00EB3202" w:rsidRPr="00A17D9B">
        <w:rPr>
          <w:rFonts w:ascii="Garamond" w:hAnsi="Garamond"/>
          <w:noProof/>
          <w:sz w:val="24"/>
          <w:szCs w:val="24"/>
          <w:lang w:val="en-GB"/>
        </w:rPr>
        <w:t xml:space="preserve"> </w:t>
      </w:r>
      <w:r w:rsidR="00A71F34" w:rsidRPr="00A17D9B">
        <w:rPr>
          <w:rFonts w:ascii="Garamond" w:hAnsi="Garamond"/>
          <w:noProof/>
          <w:sz w:val="24"/>
          <w:szCs w:val="24"/>
          <w:lang w:val="en-GB"/>
        </w:rPr>
        <w:t xml:space="preserve">not so much </w:t>
      </w:r>
      <w:r w:rsidR="00EB3202" w:rsidRPr="00A17D9B">
        <w:rPr>
          <w:rFonts w:ascii="Garamond" w:hAnsi="Garamond"/>
          <w:noProof/>
          <w:sz w:val="24"/>
          <w:szCs w:val="24"/>
          <w:lang w:val="en-GB"/>
        </w:rPr>
        <w:t xml:space="preserve">the absence of </w:t>
      </w:r>
      <w:r w:rsidR="00A71F34" w:rsidRPr="00A17D9B">
        <w:rPr>
          <w:rFonts w:ascii="Garamond" w:hAnsi="Garamond"/>
          <w:noProof/>
          <w:sz w:val="24"/>
          <w:szCs w:val="24"/>
          <w:lang w:val="en-GB"/>
        </w:rPr>
        <w:t xml:space="preserve">stable </w:t>
      </w:r>
      <w:r w:rsidR="00EB3202" w:rsidRPr="00A17D9B">
        <w:rPr>
          <w:rFonts w:ascii="Garamond" w:hAnsi="Garamond"/>
          <w:noProof/>
          <w:sz w:val="24"/>
          <w:szCs w:val="24"/>
          <w:lang w:val="en-GB"/>
        </w:rPr>
        <w:t>social norms</w:t>
      </w:r>
      <w:r w:rsidR="00A71F34" w:rsidRPr="00A17D9B">
        <w:rPr>
          <w:rFonts w:ascii="Garamond" w:hAnsi="Garamond"/>
          <w:noProof/>
          <w:sz w:val="24"/>
          <w:szCs w:val="24"/>
          <w:lang w:val="en-GB"/>
        </w:rPr>
        <w:t>,</w:t>
      </w:r>
      <w:r w:rsidR="00EB3202" w:rsidRPr="00A17D9B">
        <w:rPr>
          <w:rFonts w:ascii="Garamond" w:hAnsi="Garamond"/>
          <w:noProof/>
          <w:sz w:val="24"/>
          <w:szCs w:val="24"/>
          <w:lang w:val="en-GB"/>
        </w:rPr>
        <w:t xml:space="preserve"> but </w:t>
      </w:r>
      <w:r w:rsidR="00A71F34" w:rsidRPr="00A17D9B">
        <w:rPr>
          <w:rFonts w:ascii="Garamond" w:hAnsi="Garamond"/>
          <w:noProof/>
          <w:sz w:val="24"/>
          <w:szCs w:val="24"/>
          <w:lang w:val="en-GB"/>
        </w:rPr>
        <w:t xml:space="preserve">a situation of </w:t>
      </w:r>
      <w:r w:rsidR="00EB3202" w:rsidRPr="00A17D9B">
        <w:rPr>
          <w:rFonts w:ascii="Garamond" w:hAnsi="Garamond"/>
          <w:noProof/>
          <w:sz w:val="24"/>
          <w:szCs w:val="24"/>
          <w:lang w:val="en-GB"/>
        </w:rPr>
        <w:t xml:space="preserve">competing and </w:t>
      </w:r>
      <w:r w:rsidR="00A71F34" w:rsidRPr="00A17D9B">
        <w:rPr>
          <w:rFonts w:ascii="Garamond" w:hAnsi="Garamond"/>
          <w:noProof/>
          <w:sz w:val="24"/>
          <w:szCs w:val="24"/>
          <w:lang w:val="en-GB"/>
        </w:rPr>
        <w:t>antagonist</w:t>
      </w:r>
      <w:r w:rsidR="00EB3202" w:rsidRPr="00A17D9B">
        <w:rPr>
          <w:rFonts w:ascii="Garamond" w:hAnsi="Garamond"/>
          <w:noProof/>
          <w:sz w:val="24"/>
          <w:szCs w:val="24"/>
          <w:lang w:val="en-GB"/>
        </w:rPr>
        <w:t xml:space="preserve"> norms making a social system incoherent</w:t>
      </w:r>
      <w:r w:rsidR="00A71F34" w:rsidRPr="00A17D9B">
        <w:rPr>
          <w:rFonts w:ascii="Garamond" w:hAnsi="Garamond"/>
          <w:noProof/>
          <w:sz w:val="24"/>
          <w:szCs w:val="24"/>
          <w:lang w:val="en-GB"/>
        </w:rPr>
        <w:t xml:space="preserve"> and unpredictable</w:t>
      </w:r>
      <w:r w:rsidR="00EB3202" w:rsidRPr="00A17D9B">
        <w:rPr>
          <w:rFonts w:ascii="Garamond" w:hAnsi="Garamond"/>
          <w:noProof/>
          <w:sz w:val="24"/>
          <w:szCs w:val="24"/>
          <w:lang w:val="en-GB"/>
        </w:rPr>
        <w:t>.</w:t>
      </w:r>
      <w:r w:rsidR="00F94340" w:rsidRPr="00A17D9B">
        <w:rPr>
          <w:rFonts w:ascii="Garamond" w:hAnsi="Garamond"/>
          <w:noProof/>
          <w:sz w:val="24"/>
          <w:szCs w:val="24"/>
          <w:lang w:val="en-GB"/>
        </w:rPr>
        <w:t xml:space="preserve"> On the other hand</w:t>
      </w:r>
      <w:r w:rsidR="00A71F34" w:rsidRPr="00A17D9B">
        <w:rPr>
          <w:rFonts w:ascii="Garamond" w:hAnsi="Garamond"/>
          <w:noProof/>
          <w:sz w:val="24"/>
          <w:szCs w:val="24"/>
          <w:lang w:val="en-GB"/>
        </w:rPr>
        <w:t>, whenever the answers are converging they may do so in several manners: (a) Either on the negative (D &amp; TD) or positive side of the scale (A &amp; TA); (b) on both extreme</w:t>
      </w:r>
      <w:r w:rsidR="00F94340" w:rsidRPr="00A17D9B">
        <w:rPr>
          <w:rFonts w:ascii="Garamond" w:hAnsi="Garamond"/>
          <w:noProof/>
          <w:sz w:val="24"/>
          <w:szCs w:val="24"/>
          <w:lang w:val="en-GB"/>
        </w:rPr>
        <w:t>s</w:t>
      </w:r>
      <w:r w:rsidR="00A71F34" w:rsidRPr="00A17D9B">
        <w:rPr>
          <w:rFonts w:ascii="Garamond" w:hAnsi="Garamond"/>
          <w:noProof/>
          <w:sz w:val="24"/>
          <w:szCs w:val="24"/>
          <w:lang w:val="en-GB"/>
        </w:rPr>
        <w:t xml:space="preserve"> of the scale </w:t>
      </w:r>
      <w:r w:rsidR="00F94340" w:rsidRPr="00A17D9B">
        <w:rPr>
          <w:rFonts w:ascii="Garamond" w:hAnsi="Garamond"/>
          <w:noProof/>
          <w:sz w:val="24"/>
          <w:szCs w:val="24"/>
          <w:lang w:val="en-GB"/>
        </w:rPr>
        <w:t>at the same time (TD, TA), (c) or i</w:t>
      </w:r>
      <w:r w:rsidR="00A71F34" w:rsidRPr="00A17D9B">
        <w:rPr>
          <w:rFonts w:ascii="Garamond" w:hAnsi="Garamond"/>
          <w:noProof/>
          <w:sz w:val="24"/>
          <w:szCs w:val="24"/>
          <w:lang w:val="en-GB"/>
        </w:rPr>
        <w:t>n the middle of the scale (NN). All situation</w:t>
      </w:r>
      <w:r w:rsidR="00F94340" w:rsidRPr="00A17D9B">
        <w:rPr>
          <w:rFonts w:ascii="Garamond" w:hAnsi="Garamond"/>
          <w:noProof/>
          <w:sz w:val="24"/>
          <w:szCs w:val="24"/>
          <w:lang w:val="en-GB"/>
        </w:rPr>
        <w:t>s</w:t>
      </w:r>
      <w:r w:rsidR="00A71F34" w:rsidRPr="00A17D9B">
        <w:rPr>
          <w:rFonts w:ascii="Garamond" w:hAnsi="Garamond"/>
          <w:noProof/>
          <w:sz w:val="24"/>
          <w:szCs w:val="24"/>
          <w:lang w:val="en-GB"/>
        </w:rPr>
        <w:t xml:space="preserve"> described by (a) depict a relatively stable situation (either positive or negative), while the </w:t>
      </w:r>
      <w:r w:rsidR="00923ED7" w:rsidRPr="00A17D9B">
        <w:rPr>
          <w:rFonts w:ascii="Garamond" w:hAnsi="Garamond"/>
          <w:noProof/>
          <w:sz w:val="24"/>
          <w:szCs w:val="24"/>
          <w:lang w:val="en-GB"/>
        </w:rPr>
        <w:t xml:space="preserve">situation of </w:t>
      </w:r>
      <w:r w:rsidR="00A71F34" w:rsidRPr="00A17D9B">
        <w:rPr>
          <w:rFonts w:ascii="Garamond" w:hAnsi="Garamond"/>
          <w:noProof/>
          <w:sz w:val="24"/>
          <w:szCs w:val="24"/>
          <w:lang w:val="en-GB"/>
        </w:rPr>
        <w:t>(b)</w:t>
      </w:r>
      <w:r w:rsidR="00923ED7" w:rsidRPr="00A17D9B">
        <w:rPr>
          <w:rFonts w:ascii="Garamond" w:hAnsi="Garamond"/>
          <w:noProof/>
          <w:sz w:val="24"/>
          <w:szCs w:val="24"/>
          <w:lang w:val="en-GB"/>
        </w:rPr>
        <w:t xml:space="preserve"> and (c) can be seen as unstable. This stability or instability and the typing zones between the two are at the core of our research. It is here that recent development</w:t>
      </w:r>
      <w:r w:rsidR="0057096D" w:rsidRPr="00A17D9B">
        <w:rPr>
          <w:rFonts w:ascii="Garamond" w:hAnsi="Garamond"/>
          <w:noProof/>
          <w:sz w:val="24"/>
          <w:szCs w:val="24"/>
          <w:lang w:val="en-GB"/>
        </w:rPr>
        <w:t>s</w:t>
      </w:r>
      <w:r w:rsidR="00923ED7" w:rsidRPr="00A17D9B">
        <w:rPr>
          <w:rFonts w:ascii="Garamond" w:hAnsi="Garamond"/>
          <w:noProof/>
          <w:sz w:val="24"/>
          <w:szCs w:val="24"/>
          <w:lang w:val="en-GB"/>
        </w:rPr>
        <w:t xml:space="preserve"> in Granovetter’s theory </w:t>
      </w:r>
      <w:r w:rsidR="0057096D" w:rsidRPr="00A17D9B">
        <w:rPr>
          <w:rFonts w:ascii="Garamond" w:hAnsi="Garamond"/>
          <w:noProof/>
          <w:sz w:val="24"/>
          <w:szCs w:val="24"/>
          <w:lang w:val="en-GB"/>
        </w:rPr>
        <w:t xml:space="preserve">of tipping </w:t>
      </w:r>
      <w:r w:rsidR="00F94340" w:rsidRPr="00A17D9B">
        <w:rPr>
          <w:rFonts w:ascii="Garamond" w:hAnsi="Garamond"/>
          <w:noProof/>
          <w:sz w:val="24"/>
          <w:szCs w:val="24"/>
          <w:lang w:val="en-GB"/>
        </w:rPr>
        <w:t>are inherent</w:t>
      </w:r>
      <w:r w:rsidR="00923ED7" w:rsidRPr="00A17D9B">
        <w:rPr>
          <w:rFonts w:ascii="Garamond" w:hAnsi="Garamond"/>
          <w:noProof/>
          <w:sz w:val="24"/>
          <w:szCs w:val="24"/>
          <w:lang w:val="en-GB"/>
        </w:rPr>
        <w:t xml:space="preserve">. </w:t>
      </w:r>
    </w:p>
    <w:p w14:paraId="1FC87839" w14:textId="40FE0D33" w:rsidR="006C43FD" w:rsidRPr="00A17D9B" w:rsidRDefault="0057096D" w:rsidP="006C7AD4">
      <w:pPr>
        <w:spacing w:before="120" w:after="0" w:line="320" w:lineRule="atLeast"/>
        <w:jc w:val="both"/>
        <w:rPr>
          <w:rFonts w:ascii="Garamond" w:hAnsi="Garamond"/>
          <w:noProof/>
          <w:sz w:val="24"/>
          <w:szCs w:val="24"/>
          <w:lang w:val="en-GB"/>
        </w:rPr>
      </w:pPr>
      <w:r w:rsidRPr="00A17D9B">
        <w:rPr>
          <w:rFonts w:ascii="Garamond" w:hAnsi="Garamond"/>
          <w:noProof/>
          <w:sz w:val="24"/>
          <w:szCs w:val="24"/>
          <w:lang w:val="en-GB"/>
        </w:rPr>
        <w:t>The study of critical mass in collective action (Marwell &amp; Oliver</w:t>
      </w:r>
      <w:r w:rsidR="00C6481A" w:rsidRPr="00A17D9B">
        <w:rPr>
          <w:rFonts w:ascii="Garamond" w:hAnsi="Garamond"/>
          <w:noProof/>
          <w:sz w:val="24"/>
          <w:szCs w:val="24"/>
          <w:lang w:val="en-GB"/>
        </w:rPr>
        <w:t>, 2007</w:t>
      </w:r>
      <w:r w:rsidRPr="00A17D9B">
        <w:rPr>
          <w:rFonts w:ascii="Garamond" w:hAnsi="Garamond"/>
          <w:noProof/>
          <w:sz w:val="24"/>
          <w:szCs w:val="24"/>
          <w:lang w:val="en-GB"/>
        </w:rPr>
        <w:t xml:space="preserve">) has </w:t>
      </w:r>
      <w:r w:rsidR="006C43FD" w:rsidRPr="00A17D9B">
        <w:rPr>
          <w:rFonts w:ascii="Garamond" w:hAnsi="Garamond"/>
          <w:noProof/>
          <w:sz w:val="24"/>
          <w:szCs w:val="24"/>
          <w:lang w:val="en-GB"/>
        </w:rPr>
        <w:t xml:space="preserve">been radically enhanced </w:t>
      </w:r>
      <w:r w:rsidRPr="00A17D9B">
        <w:rPr>
          <w:rFonts w:ascii="Garamond" w:hAnsi="Garamond"/>
          <w:noProof/>
          <w:sz w:val="24"/>
          <w:szCs w:val="24"/>
          <w:lang w:val="en-GB"/>
        </w:rPr>
        <w:t xml:space="preserve">in the last decade </w:t>
      </w:r>
      <w:r w:rsidR="00F94340" w:rsidRPr="00A17D9B">
        <w:rPr>
          <w:rFonts w:ascii="Garamond" w:hAnsi="Garamond"/>
          <w:noProof/>
          <w:sz w:val="24"/>
          <w:szCs w:val="24"/>
          <w:lang w:val="en-GB"/>
        </w:rPr>
        <w:t>by the possibility of running</w:t>
      </w:r>
      <w:r w:rsidR="006C43FD" w:rsidRPr="00A17D9B">
        <w:rPr>
          <w:rFonts w:ascii="Garamond" w:hAnsi="Garamond"/>
          <w:noProof/>
          <w:sz w:val="24"/>
          <w:szCs w:val="24"/>
          <w:lang w:val="en-GB"/>
        </w:rPr>
        <w:t xml:space="preserve"> computer simulations of social behavior changes</w:t>
      </w:r>
      <w:r w:rsidR="00C10F54" w:rsidRPr="00A17D9B">
        <w:rPr>
          <w:rFonts w:ascii="Garamond" w:hAnsi="Garamond"/>
          <w:noProof/>
          <w:sz w:val="24"/>
          <w:szCs w:val="24"/>
          <w:lang w:val="en-GB"/>
        </w:rPr>
        <w:t xml:space="preserve"> (Centola</w:t>
      </w:r>
      <w:r w:rsidR="00B77118" w:rsidRPr="00A17D9B">
        <w:rPr>
          <w:rFonts w:ascii="Garamond" w:hAnsi="Garamond"/>
          <w:noProof/>
          <w:sz w:val="24"/>
          <w:szCs w:val="24"/>
          <w:lang w:val="en-GB"/>
        </w:rPr>
        <w:t xml:space="preserve">, </w:t>
      </w:r>
      <w:r w:rsidR="00C6481A" w:rsidRPr="00A17D9B">
        <w:rPr>
          <w:rFonts w:ascii="Garamond" w:hAnsi="Garamond"/>
          <w:noProof/>
          <w:sz w:val="24"/>
          <w:szCs w:val="24"/>
          <w:lang w:val="en-GB"/>
        </w:rPr>
        <w:t>2018</w:t>
      </w:r>
      <w:r w:rsidR="00235765" w:rsidRPr="00A17D9B">
        <w:rPr>
          <w:rFonts w:ascii="Garamond" w:hAnsi="Garamond"/>
          <w:noProof/>
          <w:sz w:val="24"/>
          <w:szCs w:val="24"/>
          <w:lang w:val="en-GB"/>
        </w:rPr>
        <w:t>, 179-189</w:t>
      </w:r>
      <w:r w:rsidR="000B08F0" w:rsidRPr="00A17D9B">
        <w:rPr>
          <w:rFonts w:ascii="Garamond" w:hAnsi="Garamond"/>
          <w:noProof/>
          <w:sz w:val="24"/>
          <w:szCs w:val="24"/>
          <w:lang w:val="en-GB"/>
        </w:rPr>
        <w:t>; Speiser et alii, 2018; Widermann et alii 2020</w:t>
      </w:r>
      <w:r w:rsidR="00C10F54" w:rsidRPr="00A17D9B">
        <w:rPr>
          <w:rFonts w:ascii="Garamond" w:hAnsi="Garamond"/>
          <w:noProof/>
          <w:sz w:val="24"/>
          <w:szCs w:val="24"/>
          <w:lang w:val="en-GB"/>
        </w:rPr>
        <w:t>)</w:t>
      </w:r>
      <w:r w:rsidR="006C43FD" w:rsidRPr="00A17D9B">
        <w:rPr>
          <w:rFonts w:ascii="Garamond" w:hAnsi="Garamond"/>
          <w:noProof/>
          <w:sz w:val="24"/>
          <w:szCs w:val="24"/>
          <w:lang w:val="en-GB"/>
        </w:rPr>
        <w:t xml:space="preserve">. These </w:t>
      </w:r>
      <w:r w:rsidRPr="00A17D9B">
        <w:rPr>
          <w:rFonts w:ascii="Garamond" w:hAnsi="Garamond"/>
          <w:noProof/>
          <w:sz w:val="24"/>
          <w:szCs w:val="24"/>
          <w:lang w:val="en-GB"/>
        </w:rPr>
        <w:t xml:space="preserve">studies </w:t>
      </w:r>
      <w:r w:rsidR="006C43FD" w:rsidRPr="00A17D9B">
        <w:rPr>
          <w:rFonts w:ascii="Garamond" w:hAnsi="Garamond"/>
          <w:noProof/>
          <w:sz w:val="24"/>
          <w:szCs w:val="24"/>
          <w:lang w:val="en-GB"/>
        </w:rPr>
        <w:t xml:space="preserve">have confirmed </w:t>
      </w:r>
      <w:r w:rsidRPr="00A17D9B">
        <w:rPr>
          <w:rFonts w:ascii="Garamond" w:hAnsi="Garamond"/>
          <w:noProof/>
          <w:sz w:val="24"/>
          <w:szCs w:val="24"/>
          <w:lang w:val="en-GB"/>
        </w:rPr>
        <w:t xml:space="preserve">the </w:t>
      </w:r>
      <w:r w:rsidR="006C43FD" w:rsidRPr="00A17D9B">
        <w:rPr>
          <w:rFonts w:ascii="Garamond" w:hAnsi="Garamond"/>
          <w:noProof/>
          <w:sz w:val="24"/>
          <w:szCs w:val="24"/>
          <w:lang w:val="en-GB"/>
        </w:rPr>
        <w:t>existence of tipping threshold</w:t>
      </w:r>
      <w:r w:rsidR="004D72AC" w:rsidRPr="00A17D9B">
        <w:rPr>
          <w:rFonts w:ascii="Garamond" w:hAnsi="Garamond"/>
          <w:noProof/>
          <w:sz w:val="24"/>
          <w:szCs w:val="24"/>
          <w:lang w:val="en-GB"/>
        </w:rPr>
        <w:t>s</w:t>
      </w:r>
      <w:r w:rsidR="006C43FD" w:rsidRPr="00A17D9B">
        <w:rPr>
          <w:rFonts w:ascii="Garamond" w:hAnsi="Garamond"/>
          <w:noProof/>
          <w:sz w:val="24"/>
          <w:szCs w:val="24"/>
          <w:lang w:val="en-GB"/>
        </w:rPr>
        <w:t xml:space="preserve"> in </w:t>
      </w:r>
      <w:r w:rsidRPr="00A17D9B">
        <w:rPr>
          <w:rFonts w:ascii="Garamond" w:hAnsi="Garamond"/>
          <w:noProof/>
          <w:sz w:val="24"/>
          <w:szCs w:val="24"/>
          <w:lang w:val="en-GB"/>
        </w:rPr>
        <w:t xml:space="preserve">most </w:t>
      </w:r>
      <w:r w:rsidR="006C43FD" w:rsidRPr="00A17D9B">
        <w:rPr>
          <w:rFonts w:ascii="Garamond" w:hAnsi="Garamond"/>
          <w:noProof/>
          <w:sz w:val="24"/>
          <w:szCs w:val="24"/>
          <w:lang w:val="en-GB"/>
        </w:rPr>
        <w:t xml:space="preserve">social </w:t>
      </w:r>
      <w:r w:rsidR="00C10F54" w:rsidRPr="00A17D9B">
        <w:rPr>
          <w:rFonts w:ascii="Garamond" w:hAnsi="Garamond"/>
          <w:noProof/>
          <w:sz w:val="24"/>
          <w:szCs w:val="24"/>
          <w:lang w:val="en-GB"/>
        </w:rPr>
        <w:t>structures</w:t>
      </w:r>
      <w:r w:rsidR="004D72AC" w:rsidRPr="00A17D9B">
        <w:rPr>
          <w:rFonts w:ascii="Garamond" w:hAnsi="Garamond"/>
          <w:noProof/>
          <w:sz w:val="24"/>
          <w:szCs w:val="24"/>
          <w:lang w:val="en-GB"/>
        </w:rPr>
        <w:t>; thresholds</w:t>
      </w:r>
      <w:r w:rsidR="00C10F54" w:rsidRPr="00A17D9B">
        <w:rPr>
          <w:rFonts w:ascii="Garamond" w:hAnsi="Garamond"/>
          <w:noProof/>
          <w:sz w:val="24"/>
          <w:szCs w:val="24"/>
          <w:lang w:val="en-GB"/>
        </w:rPr>
        <w:t xml:space="preserve"> beyond which social practice</w:t>
      </w:r>
      <w:r w:rsidR="004D72AC" w:rsidRPr="00A17D9B">
        <w:rPr>
          <w:rFonts w:ascii="Garamond" w:hAnsi="Garamond"/>
          <w:noProof/>
          <w:sz w:val="24"/>
          <w:szCs w:val="24"/>
          <w:lang w:val="en-GB"/>
        </w:rPr>
        <w:t>s</w:t>
      </w:r>
      <w:r w:rsidR="00C10F54" w:rsidRPr="00A17D9B">
        <w:rPr>
          <w:rFonts w:ascii="Garamond" w:hAnsi="Garamond"/>
          <w:noProof/>
          <w:sz w:val="24"/>
          <w:szCs w:val="24"/>
          <w:lang w:val="en-GB"/>
        </w:rPr>
        <w:t xml:space="preserve"> quickly change toward</w:t>
      </w:r>
      <w:r w:rsidR="00F94340" w:rsidRPr="00A17D9B">
        <w:rPr>
          <w:rFonts w:ascii="Garamond" w:hAnsi="Garamond"/>
          <w:noProof/>
          <w:sz w:val="24"/>
          <w:szCs w:val="24"/>
          <w:lang w:val="en-GB"/>
        </w:rPr>
        <w:t>s</w:t>
      </w:r>
      <w:r w:rsidR="00C10F54" w:rsidRPr="00A17D9B">
        <w:rPr>
          <w:rFonts w:ascii="Garamond" w:hAnsi="Garamond"/>
          <w:noProof/>
          <w:sz w:val="24"/>
          <w:szCs w:val="24"/>
          <w:lang w:val="en-GB"/>
        </w:rPr>
        <w:t xml:space="preserve"> a new equilibrium</w:t>
      </w:r>
      <w:r w:rsidR="00F94340" w:rsidRPr="00A17D9B">
        <w:rPr>
          <w:rFonts w:ascii="Garamond" w:hAnsi="Garamond"/>
          <w:noProof/>
          <w:sz w:val="24"/>
          <w:szCs w:val="24"/>
          <w:lang w:val="en-GB"/>
        </w:rPr>
        <w:t>. Moreover</w:t>
      </w:r>
      <w:r w:rsidR="00C10F54" w:rsidRPr="00A17D9B">
        <w:rPr>
          <w:rFonts w:ascii="Garamond" w:hAnsi="Garamond"/>
          <w:noProof/>
          <w:sz w:val="24"/>
          <w:szCs w:val="24"/>
          <w:lang w:val="en-GB"/>
        </w:rPr>
        <w:t>,</w:t>
      </w:r>
      <w:r w:rsidRPr="00A17D9B">
        <w:rPr>
          <w:rFonts w:ascii="Garamond" w:hAnsi="Garamond"/>
          <w:noProof/>
          <w:sz w:val="24"/>
          <w:szCs w:val="24"/>
          <w:lang w:val="en-GB"/>
        </w:rPr>
        <w:t xml:space="preserve"> these models </w:t>
      </w:r>
      <w:r w:rsidR="00C10F54" w:rsidRPr="00A17D9B">
        <w:rPr>
          <w:rFonts w:ascii="Garamond" w:hAnsi="Garamond"/>
          <w:noProof/>
          <w:sz w:val="24"/>
          <w:szCs w:val="24"/>
          <w:lang w:val="en-GB"/>
        </w:rPr>
        <w:t xml:space="preserve">revealed some </w:t>
      </w:r>
      <w:r w:rsidR="00886EA7" w:rsidRPr="00A17D9B">
        <w:rPr>
          <w:rFonts w:ascii="Garamond" w:hAnsi="Garamond"/>
          <w:noProof/>
          <w:sz w:val="24"/>
          <w:szCs w:val="24"/>
          <w:lang w:val="en-GB"/>
        </w:rPr>
        <w:t xml:space="preserve">dominant and </w:t>
      </w:r>
      <w:r w:rsidR="00C10F54" w:rsidRPr="00A17D9B">
        <w:rPr>
          <w:rFonts w:ascii="Garamond" w:hAnsi="Garamond"/>
          <w:noProof/>
          <w:sz w:val="24"/>
          <w:szCs w:val="24"/>
          <w:lang w:val="en-GB"/>
        </w:rPr>
        <w:t xml:space="preserve">constant </w:t>
      </w:r>
      <w:r w:rsidR="00F94340" w:rsidRPr="00A17D9B">
        <w:rPr>
          <w:rFonts w:ascii="Garamond" w:hAnsi="Garamond"/>
          <w:noProof/>
          <w:sz w:val="24"/>
          <w:szCs w:val="24"/>
          <w:lang w:val="en-GB"/>
        </w:rPr>
        <w:t xml:space="preserve">features of tipping thresholds </w:t>
      </w:r>
      <w:r w:rsidR="00C10F54" w:rsidRPr="00A17D9B">
        <w:rPr>
          <w:rFonts w:ascii="Garamond" w:hAnsi="Garamond"/>
          <w:noProof/>
          <w:sz w:val="24"/>
          <w:szCs w:val="24"/>
          <w:lang w:val="en-GB"/>
        </w:rPr>
        <w:t xml:space="preserve">that appear to be remarkably stable across a wide array of social phenomena. </w:t>
      </w:r>
      <w:r w:rsidR="00886EA7" w:rsidRPr="00A17D9B">
        <w:rPr>
          <w:rFonts w:ascii="Garamond" w:hAnsi="Garamond"/>
          <w:noProof/>
          <w:sz w:val="24"/>
          <w:szCs w:val="24"/>
          <w:lang w:val="en-GB"/>
        </w:rPr>
        <w:t xml:space="preserve"> </w:t>
      </w:r>
    </w:p>
    <w:p w14:paraId="30DCCB5D" w14:textId="022A9114" w:rsidR="004B200B" w:rsidRPr="00A17D9B" w:rsidRDefault="00C10F54" w:rsidP="006C7AD4">
      <w:pPr>
        <w:spacing w:before="120" w:after="0" w:line="320" w:lineRule="atLeast"/>
        <w:jc w:val="both"/>
        <w:rPr>
          <w:rFonts w:ascii="Garamond" w:hAnsi="Garamond"/>
          <w:noProof/>
          <w:sz w:val="24"/>
          <w:szCs w:val="24"/>
          <w:lang w:val="en-GB"/>
        </w:rPr>
      </w:pPr>
      <w:r w:rsidRPr="00A17D9B">
        <w:rPr>
          <w:rFonts w:ascii="Garamond" w:hAnsi="Garamond"/>
          <w:noProof/>
          <w:sz w:val="24"/>
          <w:szCs w:val="24"/>
          <w:lang w:val="en-GB"/>
        </w:rPr>
        <w:t xml:space="preserve">The first of these is the </w:t>
      </w:r>
      <w:r w:rsidR="00537282" w:rsidRPr="00A17D9B">
        <w:rPr>
          <w:rFonts w:ascii="Garamond" w:hAnsi="Garamond"/>
          <w:i/>
          <w:iCs/>
          <w:noProof/>
          <w:sz w:val="24"/>
          <w:szCs w:val="24"/>
          <w:lang w:val="en-GB"/>
        </w:rPr>
        <w:t>relative</w:t>
      </w:r>
      <w:r w:rsidR="00537282" w:rsidRPr="00A17D9B">
        <w:rPr>
          <w:rFonts w:ascii="Garamond" w:hAnsi="Garamond"/>
          <w:noProof/>
          <w:sz w:val="24"/>
          <w:szCs w:val="24"/>
          <w:lang w:val="en-GB"/>
        </w:rPr>
        <w:t xml:space="preserve"> </w:t>
      </w:r>
      <w:r w:rsidRPr="00A17D9B">
        <w:rPr>
          <w:rFonts w:ascii="Garamond" w:hAnsi="Garamond"/>
          <w:i/>
          <w:iCs/>
          <w:noProof/>
          <w:sz w:val="24"/>
          <w:szCs w:val="24"/>
          <w:lang w:val="en-GB"/>
        </w:rPr>
        <w:t>size of the population</w:t>
      </w:r>
      <w:r w:rsidRPr="00A17D9B">
        <w:rPr>
          <w:rFonts w:ascii="Garamond" w:hAnsi="Garamond"/>
          <w:noProof/>
          <w:sz w:val="24"/>
          <w:szCs w:val="24"/>
          <w:lang w:val="en-GB"/>
        </w:rPr>
        <w:t xml:space="preserve"> that differs from the existing </w:t>
      </w:r>
      <w:r w:rsidR="004B200B" w:rsidRPr="00A17D9B">
        <w:rPr>
          <w:rFonts w:ascii="Garamond" w:hAnsi="Garamond"/>
          <w:noProof/>
          <w:sz w:val="24"/>
          <w:szCs w:val="24"/>
          <w:lang w:val="en-GB"/>
        </w:rPr>
        <w:t xml:space="preserve">social </w:t>
      </w:r>
      <w:r w:rsidRPr="00A17D9B">
        <w:rPr>
          <w:rFonts w:ascii="Garamond" w:hAnsi="Garamond"/>
          <w:noProof/>
          <w:sz w:val="24"/>
          <w:szCs w:val="24"/>
          <w:lang w:val="en-GB"/>
        </w:rPr>
        <w:t>norm and adopt</w:t>
      </w:r>
      <w:r w:rsidR="00413840" w:rsidRPr="00A17D9B">
        <w:rPr>
          <w:rFonts w:ascii="Garamond" w:hAnsi="Garamond"/>
          <w:noProof/>
          <w:sz w:val="24"/>
          <w:szCs w:val="24"/>
          <w:lang w:val="en-GB"/>
        </w:rPr>
        <w:t>s</w:t>
      </w:r>
      <w:r w:rsidRPr="00A17D9B">
        <w:rPr>
          <w:rFonts w:ascii="Garamond" w:hAnsi="Garamond"/>
          <w:noProof/>
          <w:sz w:val="24"/>
          <w:szCs w:val="24"/>
          <w:lang w:val="en-GB"/>
        </w:rPr>
        <w:t xml:space="preserve"> a new behavior. </w:t>
      </w:r>
      <w:r w:rsidR="00886EA7" w:rsidRPr="00A17D9B">
        <w:rPr>
          <w:rFonts w:ascii="Garamond" w:hAnsi="Garamond"/>
          <w:noProof/>
          <w:sz w:val="24"/>
          <w:szCs w:val="24"/>
          <w:lang w:val="en-GB"/>
        </w:rPr>
        <w:t>This is by far the oldest assumption</w:t>
      </w:r>
      <w:r w:rsidR="00B77118" w:rsidRPr="00A17D9B">
        <w:rPr>
          <w:rFonts w:ascii="Garamond" w:hAnsi="Garamond"/>
          <w:noProof/>
          <w:sz w:val="24"/>
          <w:szCs w:val="24"/>
          <w:lang w:val="en-GB"/>
        </w:rPr>
        <w:t xml:space="preserve"> (Granovetter, 1978</w:t>
      </w:r>
      <w:r w:rsidR="004D72AC" w:rsidRPr="00A17D9B">
        <w:rPr>
          <w:rFonts w:ascii="Garamond" w:hAnsi="Garamond"/>
          <w:noProof/>
          <w:sz w:val="24"/>
          <w:szCs w:val="24"/>
          <w:lang w:val="en-GB"/>
        </w:rPr>
        <w:t>, 1983</w:t>
      </w:r>
      <w:r w:rsidR="00B77118" w:rsidRPr="00A17D9B">
        <w:rPr>
          <w:rFonts w:ascii="Garamond" w:hAnsi="Garamond"/>
          <w:noProof/>
          <w:sz w:val="24"/>
          <w:szCs w:val="24"/>
          <w:lang w:val="en-GB"/>
        </w:rPr>
        <w:t>)</w:t>
      </w:r>
      <w:r w:rsidR="00886EA7" w:rsidRPr="00A17D9B">
        <w:rPr>
          <w:rFonts w:ascii="Garamond" w:hAnsi="Garamond"/>
          <w:noProof/>
          <w:sz w:val="24"/>
          <w:szCs w:val="24"/>
          <w:lang w:val="en-GB"/>
        </w:rPr>
        <w:t xml:space="preserve">. Under a certain minimal </w:t>
      </w:r>
      <w:r w:rsidR="004B200B" w:rsidRPr="00A17D9B">
        <w:rPr>
          <w:rFonts w:ascii="Garamond" w:hAnsi="Garamond"/>
          <w:noProof/>
          <w:sz w:val="24"/>
          <w:szCs w:val="24"/>
          <w:lang w:val="en-GB"/>
        </w:rPr>
        <w:t xml:space="preserve">threshold </w:t>
      </w:r>
      <w:r w:rsidR="00886EA7" w:rsidRPr="00A17D9B">
        <w:rPr>
          <w:rFonts w:ascii="Garamond" w:hAnsi="Garamond"/>
          <w:noProof/>
          <w:sz w:val="24"/>
          <w:szCs w:val="24"/>
          <w:lang w:val="en-GB"/>
        </w:rPr>
        <w:t xml:space="preserve">of adoption, no change of social practice is possible. </w:t>
      </w:r>
      <w:r w:rsidR="004B200B" w:rsidRPr="00A17D9B">
        <w:rPr>
          <w:rFonts w:ascii="Garamond" w:hAnsi="Garamond"/>
          <w:noProof/>
          <w:sz w:val="24"/>
          <w:szCs w:val="24"/>
          <w:lang w:val="en-GB"/>
        </w:rPr>
        <w:t xml:space="preserve">Under </w:t>
      </w:r>
      <w:r w:rsidR="004D72AC" w:rsidRPr="00A17D9B">
        <w:rPr>
          <w:rFonts w:ascii="Garamond" w:hAnsi="Garamond"/>
          <w:noProof/>
          <w:sz w:val="24"/>
          <w:szCs w:val="24"/>
          <w:lang w:val="en-GB"/>
        </w:rPr>
        <w:t xml:space="preserve">it, </w:t>
      </w:r>
      <w:r w:rsidR="004B200B" w:rsidRPr="00A17D9B">
        <w:rPr>
          <w:rFonts w:ascii="Garamond" w:hAnsi="Garamond"/>
          <w:noProof/>
          <w:sz w:val="24"/>
          <w:szCs w:val="24"/>
          <w:lang w:val="en-GB"/>
        </w:rPr>
        <w:t xml:space="preserve">the </w:t>
      </w:r>
      <w:r w:rsidR="00886EA7" w:rsidRPr="00A17D9B">
        <w:rPr>
          <w:rFonts w:ascii="Garamond" w:hAnsi="Garamond"/>
          <w:noProof/>
          <w:sz w:val="24"/>
          <w:szCs w:val="24"/>
          <w:lang w:val="en-GB"/>
        </w:rPr>
        <w:t xml:space="preserve">minority behavior </w:t>
      </w:r>
      <w:r w:rsidR="004B200B" w:rsidRPr="00A17D9B">
        <w:rPr>
          <w:rFonts w:ascii="Garamond" w:hAnsi="Garamond"/>
          <w:noProof/>
          <w:sz w:val="24"/>
          <w:szCs w:val="24"/>
          <w:lang w:val="en-GB"/>
        </w:rPr>
        <w:t xml:space="preserve">is no </w:t>
      </w:r>
      <w:r w:rsidR="00886EA7" w:rsidRPr="00A17D9B">
        <w:rPr>
          <w:rFonts w:ascii="Garamond" w:hAnsi="Garamond"/>
          <w:noProof/>
          <w:sz w:val="24"/>
          <w:szCs w:val="24"/>
          <w:lang w:val="en-GB"/>
        </w:rPr>
        <w:t>threat to the dominant behavior</w:t>
      </w:r>
      <w:r w:rsidR="004B200B" w:rsidRPr="00A17D9B">
        <w:rPr>
          <w:rFonts w:ascii="Garamond" w:hAnsi="Garamond"/>
          <w:noProof/>
          <w:sz w:val="24"/>
          <w:szCs w:val="24"/>
          <w:lang w:val="en-GB"/>
        </w:rPr>
        <w:t xml:space="preserve"> and they may coexist</w:t>
      </w:r>
      <w:r w:rsidR="00886EA7" w:rsidRPr="00A17D9B">
        <w:rPr>
          <w:rFonts w:ascii="Garamond" w:hAnsi="Garamond"/>
          <w:noProof/>
          <w:sz w:val="24"/>
          <w:szCs w:val="24"/>
          <w:lang w:val="en-GB"/>
        </w:rPr>
        <w:t xml:space="preserve">. But once </w:t>
      </w:r>
      <w:r w:rsidR="004D72AC" w:rsidRPr="00A17D9B">
        <w:rPr>
          <w:rFonts w:ascii="Garamond" w:hAnsi="Garamond"/>
          <w:noProof/>
          <w:sz w:val="24"/>
          <w:szCs w:val="24"/>
          <w:lang w:val="en-GB"/>
        </w:rPr>
        <w:t>a critical mass is reached</w:t>
      </w:r>
      <w:r w:rsidR="004B200B" w:rsidRPr="00A17D9B">
        <w:rPr>
          <w:rFonts w:ascii="Garamond" w:hAnsi="Garamond"/>
          <w:noProof/>
          <w:sz w:val="24"/>
          <w:szCs w:val="24"/>
          <w:lang w:val="en-GB"/>
        </w:rPr>
        <w:t xml:space="preserve">, the dominant social behavior </w:t>
      </w:r>
      <w:r w:rsidR="004D72AC" w:rsidRPr="00A17D9B">
        <w:rPr>
          <w:rFonts w:ascii="Garamond" w:hAnsi="Garamond"/>
          <w:noProof/>
          <w:sz w:val="24"/>
          <w:szCs w:val="24"/>
          <w:lang w:val="en-GB"/>
        </w:rPr>
        <w:t xml:space="preserve">may tip over </w:t>
      </w:r>
      <w:r w:rsidR="004B200B" w:rsidRPr="00A17D9B">
        <w:rPr>
          <w:rFonts w:ascii="Garamond" w:hAnsi="Garamond"/>
          <w:noProof/>
          <w:sz w:val="24"/>
          <w:szCs w:val="24"/>
          <w:lang w:val="en-GB"/>
        </w:rPr>
        <w:t>quickly. For a long time, t</w:t>
      </w:r>
      <w:r w:rsidR="00413840" w:rsidRPr="00A17D9B">
        <w:rPr>
          <w:rFonts w:ascii="Garamond" w:hAnsi="Garamond"/>
          <w:noProof/>
          <w:sz w:val="24"/>
          <w:szCs w:val="24"/>
          <w:lang w:val="en-GB"/>
        </w:rPr>
        <w:t>he whole point</w:t>
      </w:r>
      <w:r w:rsidR="00886EA7" w:rsidRPr="00A17D9B">
        <w:rPr>
          <w:rFonts w:ascii="Garamond" w:hAnsi="Garamond"/>
          <w:noProof/>
          <w:sz w:val="24"/>
          <w:szCs w:val="24"/>
          <w:lang w:val="en-GB"/>
        </w:rPr>
        <w:t xml:space="preserve"> </w:t>
      </w:r>
      <w:r w:rsidR="004B200B" w:rsidRPr="00A17D9B">
        <w:rPr>
          <w:rFonts w:ascii="Garamond" w:hAnsi="Garamond"/>
          <w:noProof/>
          <w:sz w:val="24"/>
          <w:szCs w:val="24"/>
          <w:lang w:val="en-GB"/>
        </w:rPr>
        <w:t>was the difficulty to identify the population threshold with precision</w:t>
      </w:r>
      <w:r w:rsidR="00B77118" w:rsidRPr="00A17D9B">
        <w:rPr>
          <w:rFonts w:ascii="Garamond" w:hAnsi="Garamond"/>
          <w:noProof/>
          <w:sz w:val="24"/>
          <w:szCs w:val="24"/>
          <w:lang w:val="en-GB"/>
        </w:rPr>
        <w:t xml:space="preserve"> (Marwell &amp; Oliver 2007, 48-57)</w:t>
      </w:r>
      <w:r w:rsidR="004B200B" w:rsidRPr="00A17D9B">
        <w:rPr>
          <w:rFonts w:ascii="Garamond" w:hAnsi="Garamond"/>
          <w:noProof/>
          <w:sz w:val="24"/>
          <w:szCs w:val="24"/>
          <w:lang w:val="en-GB"/>
        </w:rPr>
        <w:t xml:space="preserve">. Empirical studies showed that size alone was not enough to predict the behavior threshold and that the specificity of each case accounted for different tipping thresholds. </w:t>
      </w:r>
      <w:r w:rsidR="00CF28D1" w:rsidRPr="00A17D9B">
        <w:rPr>
          <w:rFonts w:ascii="Garamond" w:hAnsi="Garamond"/>
          <w:noProof/>
          <w:sz w:val="24"/>
          <w:szCs w:val="24"/>
          <w:lang w:val="en-GB"/>
        </w:rPr>
        <w:t>However, w</w:t>
      </w:r>
      <w:r w:rsidR="00413840" w:rsidRPr="00A17D9B">
        <w:rPr>
          <w:rFonts w:ascii="Garamond" w:hAnsi="Garamond"/>
          <w:noProof/>
          <w:sz w:val="24"/>
          <w:szCs w:val="24"/>
          <w:lang w:val="en-GB"/>
        </w:rPr>
        <w:t>ith the possibility of</w:t>
      </w:r>
      <w:r w:rsidR="004B200B" w:rsidRPr="00A17D9B">
        <w:rPr>
          <w:rFonts w:ascii="Garamond" w:hAnsi="Garamond"/>
          <w:noProof/>
          <w:sz w:val="24"/>
          <w:szCs w:val="24"/>
          <w:lang w:val="en-GB"/>
        </w:rPr>
        <w:t xml:space="preserve"> multiply</w:t>
      </w:r>
      <w:r w:rsidR="00413840" w:rsidRPr="00A17D9B">
        <w:rPr>
          <w:rFonts w:ascii="Garamond" w:hAnsi="Garamond"/>
          <w:noProof/>
          <w:sz w:val="24"/>
          <w:szCs w:val="24"/>
          <w:lang w:val="en-GB"/>
        </w:rPr>
        <w:t>ing</w:t>
      </w:r>
      <w:r w:rsidR="004B200B" w:rsidRPr="00A17D9B">
        <w:rPr>
          <w:rFonts w:ascii="Garamond" w:hAnsi="Garamond"/>
          <w:noProof/>
          <w:sz w:val="24"/>
          <w:szCs w:val="24"/>
          <w:lang w:val="en-GB"/>
        </w:rPr>
        <w:t xml:space="preserve"> experiment</w:t>
      </w:r>
      <w:r w:rsidR="00CF28D1" w:rsidRPr="00A17D9B">
        <w:rPr>
          <w:rFonts w:ascii="Garamond" w:hAnsi="Garamond"/>
          <w:noProof/>
          <w:sz w:val="24"/>
          <w:szCs w:val="24"/>
          <w:lang w:val="en-GB"/>
        </w:rPr>
        <w:t>s</w:t>
      </w:r>
      <w:r w:rsidR="004B200B" w:rsidRPr="00A17D9B">
        <w:rPr>
          <w:rFonts w:ascii="Garamond" w:hAnsi="Garamond"/>
          <w:noProof/>
          <w:sz w:val="24"/>
          <w:szCs w:val="24"/>
          <w:lang w:val="en-GB"/>
        </w:rPr>
        <w:t xml:space="preserve"> </w:t>
      </w:r>
      <w:r w:rsidR="00CF28D1" w:rsidRPr="00A17D9B">
        <w:rPr>
          <w:rFonts w:ascii="Garamond" w:hAnsi="Garamond"/>
          <w:noProof/>
          <w:sz w:val="24"/>
          <w:szCs w:val="24"/>
          <w:lang w:val="en-GB"/>
        </w:rPr>
        <w:t xml:space="preserve">through </w:t>
      </w:r>
      <w:r w:rsidR="004B200B" w:rsidRPr="00A17D9B">
        <w:rPr>
          <w:rFonts w:ascii="Garamond" w:hAnsi="Garamond"/>
          <w:noProof/>
          <w:sz w:val="24"/>
          <w:szCs w:val="24"/>
          <w:lang w:val="en-GB"/>
        </w:rPr>
        <w:t xml:space="preserve">computer models and </w:t>
      </w:r>
      <w:r w:rsidR="00CF28D1" w:rsidRPr="00A17D9B">
        <w:rPr>
          <w:rFonts w:ascii="Garamond" w:hAnsi="Garamond"/>
          <w:noProof/>
          <w:sz w:val="24"/>
          <w:szCs w:val="24"/>
          <w:lang w:val="en-GB"/>
        </w:rPr>
        <w:t>verify</w:t>
      </w:r>
      <w:r w:rsidR="00413840" w:rsidRPr="00A17D9B">
        <w:rPr>
          <w:rFonts w:ascii="Garamond" w:hAnsi="Garamond"/>
          <w:noProof/>
          <w:sz w:val="24"/>
          <w:szCs w:val="24"/>
          <w:lang w:val="en-GB"/>
        </w:rPr>
        <w:t>ing</w:t>
      </w:r>
      <w:r w:rsidR="00CF28D1" w:rsidRPr="00A17D9B">
        <w:rPr>
          <w:rFonts w:ascii="Garamond" w:hAnsi="Garamond"/>
          <w:noProof/>
          <w:sz w:val="24"/>
          <w:szCs w:val="24"/>
          <w:lang w:val="en-GB"/>
        </w:rPr>
        <w:t xml:space="preserve"> the impact of each variable, an active minority behavior of 20% is seen as part of the constant </w:t>
      </w:r>
      <w:r w:rsidR="00081A66" w:rsidRPr="00A17D9B">
        <w:rPr>
          <w:rFonts w:ascii="Garamond" w:hAnsi="Garamond"/>
          <w:noProof/>
          <w:sz w:val="24"/>
          <w:szCs w:val="24"/>
          <w:lang w:val="en-GB"/>
        </w:rPr>
        <w:t>features of tipping thresholds</w:t>
      </w:r>
      <w:r w:rsidR="00B77118" w:rsidRPr="00A17D9B">
        <w:rPr>
          <w:rFonts w:ascii="Garamond" w:hAnsi="Garamond"/>
          <w:noProof/>
          <w:sz w:val="24"/>
          <w:szCs w:val="24"/>
          <w:lang w:val="en-GB"/>
        </w:rPr>
        <w:t xml:space="preserve"> (Centola et alii, 2018; Widermann et alii 2020).</w:t>
      </w:r>
      <w:r w:rsidR="00081A66" w:rsidRPr="00A17D9B">
        <w:rPr>
          <w:rFonts w:ascii="Garamond" w:hAnsi="Garamond"/>
          <w:noProof/>
          <w:sz w:val="24"/>
          <w:szCs w:val="24"/>
          <w:lang w:val="en-GB"/>
        </w:rPr>
        <w:t xml:space="preserve"> </w:t>
      </w:r>
      <w:r w:rsidR="00886EA7" w:rsidRPr="00A17D9B">
        <w:rPr>
          <w:rFonts w:ascii="Garamond" w:hAnsi="Garamond"/>
          <w:noProof/>
          <w:sz w:val="24"/>
          <w:szCs w:val="24"/>
          <w:lang w:val="en-GB"/>
        </w:rPr>
        <w:t xml:space="preserve"> </w:t>
      </w:r>
    </w:p>
    <w:p w14:paraId="3DA4B998" w14:textId="0AA45BE7" w:rsidR="00B3690F" w:rsidRPr="00A17D9B" w:rsidRDefault="00C10F54" w:rsidP="006C7AD4">
      <w:pPr>
        <w:spacing w:before="120" w:after="0" w:line="320" w:lineRule="atLeast"/>
        <w:jc w:val="both"/>
        <w:rPr>
          <w:rFonts w:ascii="Garamond" w:hAnsi="Garamond"/>
          <w:noProof/>
          <w:sz w:val="24"/>
          <w:szCs w:val="24"/>
          <w:lang w:val="en-GB"/>
        </w:rPr>
      </w:pPr>
      <w:r w:rsidRPr="00A17D9B">
        <w:rPr>
          <w:rFonts w:ascii="Garamond" w:hAnsi="Garamond"/>
          <w:noProof/>
          <w:sz w:val="24"/>
          <w:szCs w:val="24"/>
          <w:lang w:val="en-GB"/>
        </w:rPr>
        <w:t xml:space="preserve">The second </w:t>
      </w:r>
      <w:r w:rsidR="00081A66" w:rsidRPr="00A17D9B">
        <w:rPr>
          <w:rFonts w:ascii="Garamond" w:hAnsi="Garamond"/>
          <w:noProof/>
          <w:sz w:val="24"/>
          <w:szCs w:val="24"/>
          <w:lang w:val="en-GB"/>
        </w:rPr>
        <w:t xml:space="preserve">feature of tipping threshold is </w:t>
      </w:r>
      <w:r w:rsidRPr="00A17D9B">
        <w:rPr>
          <w:rFonts w:ascii="Garamond" w:hAnsi="Garamond"/>
          <w:noProof/>
          <w:sz w:val="24"/>
          <w:szCs w:val="24"/>
          <w:lang w:val="en-GB"/>
        </w:rPr>
        <w:t xml:space="preserve">the </w:t>
      </w:r>
      <w:r w:rsidRPr="00A17D9B">
        <w:rPr>
          <w:rFonts w:ascii="Garamond" w:hAnsi="Garamond"/>
          <w:i/>
          <w:iCs/>
          <w:noProof/>
          <w:sz w:val="24"/>
          <w:szCs w:val="24"/>
          <w:lang w:val="en-GB"/>
        </w:rPr>
        <w:t xml:space="preserve">strength of </w:t>
      </w:r>
      <w:r w:rsidR="00081A66" w:rsidRPr="00A17D9B">
        <w:rPr>
          <w:rFonts w:ascii="Garamond" w:hAnsi="Garamond"/>
          <w:i/>
          <w:iCs/>
          <w:noProof/>
          <w:sz w:val="24"/>
          <w:szCs w:val="24"/>
          <w:lang w:val="en-GB"/>
        </w:rPr>
        <w:t xml:space="preserve">the minority’s </w:t>
      </w:r>
      <w:r w:rsidRPr="00A17D9B">
        <w:rPr>
          <w:rFonts w:ascii="Garamond" w:hAnsi="Garamond"/>
          <w:i/>
          <w:iCs/>
          <w:noProof/>
          <w:sz w:val="24"/>
          <w:szCs w:val="24"/>
          <w:lang w:val="en-GB"/>
        </w:rPr>
        <w:t>conviction</w:t>
      </w:r>
      <w:r w:rsidR="00081A66" w:rsidRPr="00A17D9B">
        <w:rPr>
          <w:rFonts w:ascii="Garamond" w:hAnsi="Garamond"/>
          <w:noProof/>
          <w:sz w:val="24"/>
          <w:szCs w:val="24"/>
          <w:lang w:val="en-GB"/>
        </w:rPr>
        <w:t xml:space="preserve"> about its own behavior</w:t>
      </w:r>
      <w:r w:rsidRPr="00A17D9B">
        <w:rPr>
          <w:rFonts w:ascii="Garamond" w:hAnsi="Garamond"/>
          <w:noProof/>
          <w:sz w:val="24"/>
          <w:szCs w:val="24"/>
          <w:lang w:val="en-GB"/>
        </w:rPr>
        <w:t xml:space="preserve"> (they </w:t>
      </w:r>
      <w:r w:rsidR="00886EA7" w:rsidRPr="00A17D9B">
        <w:rPr>
          <w:rFonts w:ascii="Garamond" w:hAnsi="Garamond"/>
          <w:noProof/>
          <w:sz w:val="24"/>
          <w:szCs w:val="24"/>
          <w:lang w:val="en-GB"/>
        </w:rPr>
        <w:t>are not ashamed of breaking the social norm</w:t>
      </w:r>
      <w:r w:rsidR="00081A66" w:rsidRPr="00A17D9B">
        <w:rPr>
          <w:rFonts w:ascii="Garamond" w:hAnsi="Garamond"/>
          <w:noProof/>
          <w:sz w:val="24"/>
          <w:szCs w:val="24"/>
          <w:lang w:val="en-GB"/>
        </w:rPr>
        <w:t xml:space="preserve"> and stick</w:t>
      </w:r>
      <w:r w:rsidR="00413840" w:rsidRPr="00A17D9B">
        <w:rPr>
          <w:rFonts w:ascii="Garamond" w:hAnsi="Garamond"/>
          <w:noProof/>
          <w:sz w:val="24"/>
          <w:szCs w:val="24"/>
          <w:lang w:val="en-GB"/>
        </w:rPr>
        <w:t>ing</w:t>
      </w:r>
      <w:r w:rsidR="00081A66" w:rsidRPr="00A17D9B">
        <w:rPr>
          <w:rFonts w:ascii="Garamond" w:hAnsi="Garamond"/>
          <w:noProof/>
          <w:sz w:val="24"/>
          <w:szCs w:val="24"/>
          <w:lang w:val="en-GB"/>
        </w:rPr>
        <w:t xml:space="preserve"> to the new behavior</w:t>
      </w:r>
      <w:r w:rsidR="00886EA7" w:rsidRPr="00A17D9B">
        <w:rPr>
          <w:rFonts w:ascii="Garamond" w:hAnsi="Garamond"/>
          <w:noProof/>
          <w:sz w:val="24"/>
          <w:szCs w:val="24"/>
          <w:lang w:val="en-GB"/>
        </w:rPr>
        <w:t xml:space="preserve">). </w:t>
      </w:r>
      <w:r w:rsidR="004104A4" w:rsidRPr="00A17D9B">
        <w:rPr>
          <w:rFonts w:ascii="Garamond" w:hAnsi="Garamond"/>
          <w:noProof/>
          <w:sz w:val="24"/>
          <w:szCs w:val="24"/>
          <w:lang w:val="en-GB"/>
        </w:rPr>
        <w:t xml:space="preserve">The fact that they resist </w:t>
      </w:r>
      <w:r w:rsidR="00081A66" w:rsidRPr="00A17D9B">
        <w:rPr>
          <w:rFonts w:ascii="Garamond" w:hAnsi="Garamond"/>
          <w:noProof/>
          <w:sz w:val="24"/>
          <w:szCs w:val="24"/>
          <w:lang w:val="en-GB"/>
        </w:rPr>
        <w:t>fall</w:t>
      </w:r>
      <w:r w:rsidR="004104A4" w:rsidRPr="00A17D9B">
        <w:rPr>
          <w:rFonts w:ascii="Garamond" w:hAnsi="Garamond"/>
          <w:noProof/>
          <w:sz w:val="24"/>
          <w:szCs w:val="24"/>
          <w:lang w:val="en-GB"/>
        </w:rPr>
        <w:t>ing</w:t>
      </w:r>
      <w:r w:rsidR="00081A66" w:rsidRPr="00A17D9B">
        <w:rPr>
          <w:rFonts w:ascii="Garamond" w:hAnsi="Garamond"/>
          <w:noProof/>
          <w:sz w:val="24"/>
          <w:szCs w:val="24"/>
          <w:lang w:val="en-GB"/>
        </w:rPr>
        <w:t xml:space="preserve"> back into the dominant behavior implies that over time, the minority behavior has an advantage over the dominant practice which is more prone to change</w:t>
      </w:r>
      <w:r w:rsidR="00D1619B" w:rsidRPr="00A17D9B">
        <w:rPr>
          <w:rFonts w:ascii="Garamond" w:hAnsi="Garamond"/>
          <w:noProof/>
          <w:sz w:val="24"/>
          <w:szCs w:val="24"/>
          <w:lang w:val="en-GB"/>
        </w:rPr>
        <w:t xml:space="preserve"> (Centola 2018, 66-78)</w:t>
      </w:r>
      <w:r w:rsidR="00081A66" w:rsidRPr="00A17D9B">
        <w:rPr>
          <w:rFonts w:ascii="Garamond" w:hAnsi="Garamond"/>
          <w:noProof/>
          <w:sz w:val="24"/>
          <w:szCs w:val="24"/>
          <w:lang w:val="en-GB"/>
        </w:rPr>
        <w:t>.</w:t>
      </w:r>
    </w:p>
    <w:p w14:paraId="4071E4FF" w14:textId="29A5C32C" w:rsidR="004B200B" w:rsidRPr="00A17D9B" w:rsidRDefault="00B3690F" w:rsidP="006C7AD4">
      <w:pPr>
        <w:spacing w:before="120" w:after="0" w:line="320" w:lineRule="atLeast"/>
        <w:jc w:val="both"/>
        <w:rPr>
          <w:rFonts w:ascii="Garamond" w:hAnsi="Garamond"/>
          <w:noProof/>
          <w:sz w:val="24"/>
          <w:szCs w:val="24"/>
          <w:lang w:val="en-GB"/>
        </w:rPr>
      </w:pPr>
      <w:r w:rsidRPr="00A17D9B">
        <w:rPr>
          <w:rFonts w:ascii="Garamond" w:hAnsi="Garamond"/>
          <w:noProof/>
          <w:sz w:val="24"/>
          <w:szCs w:val="24"/>
          <w:lang w:val="en-GB"/>
        </w:rPr>
        <w:lastRenderedPageBreak/>
        <w:t xml:space="preserve">A third feature is </w:t>
      </w:r>
      <w:r w:rsidR="00BA1D8D" w:rsidRPr="00A17D9B">
        <w:rPr>
          <w:rFonts w:ascii="Garamond" w:hAnsi="Garamond"/>
          <w:noProof/>
          <w:sz w:val="24"/>
          <w:szCs w:val="24"/>
          <w:lang w:val="en-GB"/>
        </w:rPr>
        <w:t xml:space="preserve">represented by </w:t>
      </w:r>
      <w:r w:rsidRPr="00A17D9B">
        <w:rPr>
          <w:rFonts w:ascii="Garamond" w:hAnsi="Garamond"/>
          <w:noProof/>
          <w:sz w:val="24"/>
          <w:szCs w:val="24"/>
          <w:lang w:val="en-GB"/>
        </w:rPr>
        <w:t xml:space="preserve">the </w:t>
      </w:r>
      <w:r w:rsidRPr="00A17D9B">
        <w:rPr>
          <w:rFonts w:ascii="Garamond" w:hAnsi="Garamond"/>
          <w:i/>
          <w:iCs/>
          <w:noProof/>
          <w:sz w:val="24"/>
          <w:szCs w:val="24"/>
          <w:lang w:val="en-GB"/>
        </w:rPr>
        <w:t>size of the swing population</w:t>
      </w:r>
      <w:r w:rsidRPr="00A17D9B">
        <w:rPr>
          <w:rFonts w:ascii="Garamond" w:hAnsi="Garamond"/>
          <w:noProof/>
          <w:sz w:val="24"/>
          <w:szCs w:val="24"/>
          <w:lang w:val="en-GB"/>
        </w:rPr>
        <w:t>, that is the population that may adopt a new behavior</w:t>
      </w:r>
      <w:r w:rsidR="00D1619B" w:rsidRPr="00A17D9B">
        <w:rPr>
          <w:rFonts w:ascii="Garamond" w:hAnsi="Garamond"/>
          <w:noProof/>
          <w:sz w:val="24"/>
          <w:szCs w:val="24"/>
          <w:lang w:val="en-GB"/>
        </w:rPr>
        <w:t xml:space="preserve"> (Centola 2018, 96-108)</w:t>
      </w:r>
      <w:r w:rsidRPr="00A17D9B">
        <w:rPr>
          <w:rFonts w:ascii="Garamond" w:hAnsi="Garamond"/>
          <w:noProof/>
          <w:sz w:val="24"/>
          <w:szCs w:val="24"/>
          <w:lang w:val="en-GB"/>
        </w:rPr>
        <w:t>. The more a population is polarized around strong convictions</w:t>
      </w:r>
      <w:r w:rsidR="00081A66" w:rsidRPr="00A17D9B">
        <w:rPr>
          <w:rFonts w:ascii="Garamond" w:hAnsi="Garamond"/>
          <w:noProof/>
          <w:sz w:val="24"/>
          <w:szCs w:val="24"/>
          <w:lang w:val="en-GB"/>
        </w:rPr>
        <w:t xml:space="preserve"> </w:t>
      </w:r>
      <w:r w:rsidRPr="00A17D9B">
        <w:rPr>
          <w:rFonts w:ascii="Garamond" w:hAnsi="Garamond"/>
          <w:noProof/>
          <w:sz w:val="24"/>
          <w:szCs w:val="24"/>
          <w:lang w:val="en-GB"/>
        </w:rPr>
        <w:t xml:space="preserve">and </w:t>
      </w:r>
      <w:r w:rsidR="00BA1D8D" w:rsidRPr="00A17D9B">
        <w:rPr>
          <w:rFonts w:ascii="Garamond" w:hAnsi="Garamond"/>
          <w:noProof/>
          <w:sz w:val="24"/>
          <w:szCs w:val="24"/>
          <w:lang w:val="en-GB"/>
        </w:rPr>
        <w:t>practice</w:t>
      </w:r>
      <w:r w:rsidRPr="00A17D9B">
        <w:rPr>
          <w:rFonts w:ascii="Garamond" w:hAnsi="Garamond"/>
          <w:noProof/>
          <w:sz w:val="24"/>
          <w:szCs w:val="24"/>
          <w:lang w:val="en-GB"/>
        </w:rPr>
        <w:t xml:space="preserve">, </w:t>
      </w:r>
      <w:r w:rsidR="004104A4" w:rsidRPr="00A17D9B">
        <w:rPr>
          <w:rFonts w:ascii="Garamond" w:hAnsi="Garamond"/>
          <w:noProof/>
          <w:sz w:val="24"/>
          <w:szCs w:val="24"/>
          <w:lang w:val="en-GB"/>
        </w:rPr>
        <w:t xml:space="preserve">the smaller </w:t>
      </w:r>
      <w:r w:rsidR="00BA1D8D" w:rsidRPr="00A17D9B">
        <w:rPr>
          <w:rFonts w:ascii="Garamond" w:hAnsi="Garamond"/>
          <w:noProof/>
          <w:sz w:val="24"/>
          <w:szCs w:val="24"/>
          <w:lang w:val="en-GB"/>
        </w:rPr>
        <w:t>the size of the population that is open to change and therefore able to tip over a dominant behavior. The size of this swing population, while not enough in it</w:t>
      </w:r>
      <w:r w:rsidR="004104A4" w:rsidRPr="00A17D9B">
        <w:rPr>
          <w:rFonts w:ascii="Garamond" w:hAnsi="Garamond"/>
          <w:noProof/>
          <w:sz w:val="24"/>
          <w:szCs w:val="24"/>
          <w:lang w:val="en-GB"/>
        </w:rPr>
        <w:t>self, must be typically over 20</w:t>
      </w:r>
      <w:r w:rsidR="00BA1D8D" w:rsidRPr="00A17D9B">
        <w:rPr>
          <w:rFonts w:ascii="Garamond" w:hAnsi="Garamond"/>
          <w:noProof/>
          <w:sz w:val="24"/>
          <w:szCs w:val="24"/>
          <w:lang w:val="en-GB"/>
        </w:rPr>
        <w:t>% for a tipping threshold to exist</w:t>
      </w:r>
      <w:r w:rsidR="00D1619B" w:rsidRPr="00A17D9B">
        <w:rPr>
          <w:rFonts w:ascii="Garamond" w:hAnsi="Garamond"/>
          <w:noProof/>
          <w:sz w:val="24"/>
          <w:szCs w:val="24"/>
          <w:lang w:val="en-GB"/>
        </w:rPr>
        <w:t xml:space="preserve"> (Centola et alii, 2018)</w:t>
      </w:r>
      <w:r w:rsidR="00BA1D8D" w:rsidRPr="00A17D9B">
        <w:rPr>
          <w:rFonts w:ascii="Garamond" w:hAnsi="Garamond"/>
          <w:noProof/>
          <w:sz w:val="24"/>
          <w:szCs w:val="24"/>
          <w:lang w:val="en-GB"/>
        </w:rPr>
        <w:t>.</w:t>
      </w:r>
    </w:p>
    <w:p w14:paraId="3DD14B0E" w14:textId="7325A910" w:rsidR="00C5011B" w:rsidRPr="00A17D9B" w:rsidRDefault="00B3690F" w:rsidP="006C7AD4">
      <w:pPr>
        <w:spacing w:before="120" w:after="0" w:line="320" w:lineRule="atLeast"/>
        <w:jc w:val="both"/>
        <w:rPr>
          <w:rFonts w:ascii="Garamond" w:hAnsi="Garamond"/>
          <w:noProof/>
          <w:sz w:val="24"/>
          <w:szCs w:val="24"/>
          <w:lang w:val="en-GB"/>
        </w:rPr>
      </w:pPr>
      <w:r w:rsidRPr="00A17D9B">
        <w:rPr>
          <w:rFonts w:ascii="Garamond" w:hAnsi="Garamond"/>
          <w:noProof/>
          <w:sz w:val="24"/>
          <w:szCs w:val="24"/>
          <w:lang w:val="en-GB"/>
        </w:rPr>
        <w:t xml:space="preserve">A final </w:t>
      </w:r>
      <w:r w:rsidR="00081A66" w:rsidRPr="00A17D9B">
        <w:rPr>
          <w:rFonts w:ascii="Garamond" w:hAnsi="Garamond"/>
          <w:noProof/>
          <w:sz w:val="24"/>
          <w:szCs w:val="24"/>
          <w:lang w:val="en-GB"/>
        </w:rPr>
        <w:t xml:space="preserve">feature </w:t>
      </w:r>
      <w:r w:rsidR="00BA1D8D" w:rsidRPr="00A17D9B">
        <w:rPr>
          <w:rFonts w:ascii="Garamond" w:hAnsi="Garamond"/>
          <w:noProof/>
          <w:sz w:val="24"/>
          <w:szCs w:val="24"/>
          <w:lang w:val="en-GB"/>
        </w:rPr>
        <w:t xml:space="preserve">also </w:t>
      </w:r>
      <w:r w:rsidR="00081A66" w:rsidRPr="00A17D9B">
        <w:rPr>
          <w:rFonts w:ascii="Garamond" w:hAnsi="Garamond"/>
          <w:noProof/>
          <w:sz w:val="24"/>
          <w:szCs w:val="24"/>
          <w:lang w:val="en-GB"/>
        </w:rPr>
        <w:t>emerged</w:t>
      </w:r>
      <w:r w:rsidR="00BA1D8D" w:rsidRPr="00A17D9B">
        <w:rPr>
          <w:rFonts w:ascii="Garamond" w:hAnsi="Garamond"/>
          <w:noProof/>
          <w:sz w:val="24"/>
          <w:szCs w:val="24"/>
          <w:lang w:val="en-GB"/>
        </w:rPr>
        <w:t xml:space="preserve"> from Centola’s work</w:t>
      </w:r>
      <w:r w:rsidR="00235765" w:rsidRPr="00A17D9B">
        <w:rPr>
          <w:rFonts w:ascii="Garamond" w:hAnsi="Garamond"/>
          <w:noProof/>
          <w:sz w:val="24"/>
          <w:szCs w:val="24"/>
          <w:lang w:val="en-GB"/>
        </w:rPr>
        <w:t xml:space="preserve"> (2018, 34-62)</w:t>
      </w:r>
      <w:r w:rsidR="004104A4" w:rsidRPr="00A17D9B">
        <w:rPr>
          <w:rFonts w:ascii="Garamond" w:hAnsi="Garamond"/>
          <w:noProof/>
          <w:sz w:val="24"/>
          <w:szCs w:val="24"/>
          <w:lang w:val="en-GB"/>
        </w:rPr>
        <w:t>, a</w:t>
      </w:r>
      <w:r w:rsidR="00081A66" w:rsidRPr="00A17D9B">
        <w:rPr>
          <w:rFonts w:ascii="Garamond" w:hAnsi="Garamond"/>
          <w:noProof/>
          <w:sz w:val="24"/>
          <w:szCs w:val="24"/>
          <w:lang w:val="en-GB"/>
        </w:rPr>
        <w:t>pparently</w:t>
      </w:r>
      <w:r w:rsidR="004104A4" w:rsidRPr="00A17D9B">
        <w:rPr>
          <w:rFonts w:ascii="Garamond" w:hAnsi="Garamond"/>
          <w:noProof/>
          <w:sz w:val="24"/>
          <w:szCs w:val="24"/>
          <w:lang w:val="en-GB"/>
        </w:rPr>
        <w:t xml:space="preserve"> more technical. I</w:t>
      </w:r>
      <w:r w:rsidR="00081A66" w:rsidRPr="00A17D9B">
        <w:rPr>
          <w:rFonts w:ascii="Garamond" w:hAnsi="Garamond"/>
          <w:noProof/>
          <w:sz w:val="24"/>
          <w:szCs w:val="24"/>
          <w:lang w:val="en-GB"/>
        </w:rPr>
        <w:t xml:space="preserve">t has to do with the </w:t>
      </w:r>
      <w:r w:rsidR="00C5011B" w:rsidRPr="00A17D9B">
        <w:rPr>
          <w:rFonts w:ascii="Garamond" w:hAnsi="Garamond"/>
          <w:noProof/>
          <w:sz w:val="24"/>
          <w:szCs w:val="24"/>
          <w:lang w:val="en-GB"/>
        </w:rPr>
        <w:t xml:space="preserve">role of short and intensive relationship clusters </w:t>
      </w:r>
      <w:r w:rsidR="00DA459A" w:rsidRPr="00A17D9B">
        <w:rPr>
          <w:rFonts w:ascii="Garamond" w:hAnsi="Garamond"/>
          <w:noProof/>
          <w:sz w:val="24"/>
          <w:szCs w:val="24"/>
          <w:lang w:val="en-GB"/>
        </w:rPr>
        <w:t xml:space="preserve">(strong ties) </w:t>
      </w:r>
      <w:r w:rsidR="00537282" w:rsidRPr="00A17D9B">
        <w:rPr>
          <w:rFonts w:ascii="Garamond" w:hAnsi="Garamond"/>
          <w:noProof/>
          <w:sz w:val="24"/>
          <w:szCs w:val="24"/>
          <w:lang w:val="en-GB"/>
        </w:rPr>
        <w:t>and their interactions with</w:t>
      </w:r>
      <w:r w:rsidR="00C5011B" w:rsidRPr="00A17D9B">
        <w:rPr>
          <w:rFonts w:ascii="Garamond" w:hAnsi="Garamond"/>
          <w:noProof/>
          <w:sz w:val="24"/>
          <w:szCs w:val="24"/>
          <w:lang w:val="en-GB"/>
        </w:rPr>
        <w:t xml:space="preserve"> ‘</w:t>
      </w:r>
      <w:r w:rsidR="00537282" w:rsidRPr="00A17D9B">
        <w:rPr>
          <w:rFonts w:ascii="Garamond" w:hAnsi="Garamond"/>
          <w:noProof/>
          <w:sz w:val="24"/>
          <w:szCs w:val="24"/>
          <w:lang w:val="en-GB"/>
        </w:rPr>
        <w:t xml:space="preserve">wide </w:t>
      </w:r>
      <w:r w:rsidR="00081A66" w:rsidRPr="00A17D9B">
        <w:rPr>
          <w:rFonts w:ascii="Garamond" w:hAnsi="Garamond"/>
          <w:noProof/>
          <w:sz w:val="24"/>
          <w:szCs w:val="24"/>
          <w:lang w:val="en-GB"/>
        </w:rPr>
        <w:t>long bridge</w:t>
      </w:r>
      <w:r w:rsidR="00C5011B" w:rsidRPr="00A17D9B">
        <w:rPr>
          <w:rFonts w:ascii="Garamond" w:hAnsi="Garamond"/>
          <w:noProof/>
          <w:sz w:val="24"/>
          <w:szCs w:val="24"/>
          <w:lang w:val="en-GB"/>
        </w:rPr>
        <w:t>’</w:t>
      </w:r>
      <w:r w:rsidR="00081A66" w:rsidRPr="00A17D9B">
        <w:rPr>
          <w:rFonts w:ascii="Garamond" w:hAnsi="Garamond"/>
          <w:noProof/>
          <w:sz w:val="24"/>
          <w:szCs w:val="24"/>
          <w:lang w:val="en-GB"/>
        </w:rPr>
        <w:t xml:space="preserve"> </w:t>
      </w:r>
      <w:r w:rsidR="00C5011B" w:rsidRPr="00A17D9B">
        <w:rPr>
          <w:rFonts w:ascii="Garamond" w:hAnsi="Garamond"/>
          <w:noProof/>
          <w:sz w:val="24"/>
          <w:szCs w:val="24"/>
          <w:lang w:val="en-GB"/>
        </w:rPr>
        <w:t>relationships</w:t>
      </w:r>
      <w:r w:rsidR="00DA459A" w:rsidRPr="00A17D9B">
        <w:rPr>
          <w:rFonts w:ascii="Garamond" w:hAnsi="Garamond"/>
          <w:noProof/>
          <w:sz w:val="24"/>
          <w:szCs w:val="24"/>
          <w:lang w:val="en-GB"/>
        </w:rPr>
        <w:t xml:space="preserve"> (weak ties)</w:t>
      </w:r>
      <w:r w:rsidR="00C5011B" w:rsidRPr="00A17D9B">
        <w:rPr>
          <w:rFonts w:ascii="Garamond" w:hAnsi="Garamond"/>
          <w:noProof/>
          <w:sz w:val="24"/>
          <w:szCs w:val="24"/>
          <w:lang w:val="en-GB"/>
        </w:rPr>
        <w:t xml:space="preserve">. The </w:t>
      </w:r>
      <w:r w:rsidR="00DA459A" w:rsidRPr="00A17D9B">
        <w:rPr>
          <w:rFonts w:ascii="Garamond" w:hAnsi="Garamond"/>
          <w:noProof/>
          <w:sz w:val="24"/>
          <w:szCs w:val="24"/>
          <w:lang w:val="en-GB"/>
        </w:rPr>
        <w:t xml:space="preserve">first </w:t>
      </w:r>
      <w:r w:rsidR="00C5011B" w:rsidRPr="00A17D9B">
        <w:rPr>
          <w:rFonts w:ascii="Garamond" w:hAnsi="Garamond"/>
          <w:noProof/>
          <w:sz w:val="24"/>
          <w:szCs w:val="24"/>
          <w:lang w:val="en-GB"/>
        </w:rPr>
        <w:t xml:space="preserve">typically describes small and dense family networks where </w:t>
      </w:r>
      <w:r w:rsidR="00DA459A" w:rsidRPr="00A17D9B">
        <w:rPr>
          <w:rFonts w:ascii="Garamond" w:hAnsi="Garamond"/>
          <w:noProof/>
          <w:sz w:val="24"/>
          <w:szCs w:val="24"/>
          <w:lang w:val="en-GB"/>
        </w:rPr>
        <w:t xml:space="preserve">strong relationships </w:t>
      </w:r>
      <w:r w:rsidR="00C5011B" w:rsidRPr="00A17D9B">
        <w:rPr>
          <w:rFonts w:ascii="Garamond" w:hAnsi="Garamond"/>
          <w:noProof/>
          <w:sz w:val="24"/>
          <w:szCs w:val="24"/>
          <w:lang w:val="en-GB"/>
        </w:rPr>
        <w:t>and repeated contact</w:t>
      </w:r>
      <w:r w:rsidR="00DA459A" w:rsidRPr="00A17D9B">
        <w:rPr>
          <w:rFonts w:ascii="Garamond" w:hAnsi="Garamond"/>
          <w:noProof/>
          <w:sz w:val="24"/>
          <w:szCs w:val="24"/>
          <w:lang w:val="en-GB"/>
        </w:rPr>
        <w:t>s</w:t>
      </w:r>
      <w:r w:rsidR="00C5011B" w:rsidRPr="00A17D9B">
        <w:rPr>
          <w:rFonts w:ascii="Garamond" w:hAnsi="Garamond"/>
          <w:noProof/>
          <w:sz w:val="24"/>
          <w:szCs w:val="24"/>
          <w:lang w:val="en-GB"/>
        </w:rPr>
        <w:t xml:space="preserve"> ensure </w:t>
      </w:r>
      <w:r w:rsidR="00DA459A" w:rsidRPr="00A17D9B">
        <w:rPr>
          <w:rFonts w:ascii="Garamond" w:hAnsi="Garamond"/>
          <w:noProof/>
          <w:sz w:val="24"/>
          <w:szCs w:val="24"/>
          <w:lang w:val="en-GB"/>
        </w:rPr>
        <w:t xml:space="preserve">the social reinforcement needed to adopt a </w:t>
      </w:r>
      <w:r w:rsidR="00C5011B" w:rsidRPr="00A17D9B">
        <w:rPr>
          <w:rFonts w:ascii="Garamond" w:hAnsi="Garamond"/>
          <w:noProof/>
          <w:sz w:val="24"/>
          <w:szCs w:val="24"/>
          <w:lang w:val="en-GB"/>
        </w:rPr>
        <w:t>new behavior</w:t>
      </w:r>
      <w:r w:rsidR="00235765" w:rsidRPr="00A17D9B">
        <w:rPr>
          <w:rFonts w:ascii="Garamond" w:hAnsi="Garamond"/>
          <w:noProof/>
          <w:sz w:val="24"/>
          <w:szCs w:val="24"/>
          <w:lang w:val="en-GB"/>
        </w:rPr>
        <w:t xml:space="preserve"> (Centola, 2018, 38-41)</w:t>
      </w:r>
      <w:r w:rsidR="00C5011B" w:rsidRPr="00A17D9B">
        <w:rPr>
          <w:rFonts w:ascii="Garamond" w:hAnsi="Garamond"/>
          <w:noProof/>
          <w:sz w:val="24"/>
          <w:szCs w:val="24"/>
          <w:lang w:val="en-GB"/>
        </w:rPr>
        <w:t xml:space="preserve">. However, the small size and relative isolation of these clusters is </w:t>
      </w:r>
      <w:r w:rsidR="00DA459A" w:rsidRPr="00A17D9B">
        <w:rPr>
          <w:rFonts w:ascii="Garamond" w:hAnsi="Garamond"/>
          <w:noProof/>
          <w:sz w:val="24"/>
          <w:szCs w:val="24"/>
          <w:lang w:val="en-GB"/>
        </w:rPr>
        <w:t xml:space="preserve">in itself </w:t>
      </w:r>
      <w:r w:rsidR="004104A4" w:rsidRPr="00A17D9B">
        <w:rPr>
          <w:rFonts w:ascii="Garamond" w:hAnsi="Garamond"/>
          <w:noProof/>
          <w:sz w:val="24"/>
          <w:szCs w:val="24"/>
          <w:lang w:val="en-GB"/>
        </w:rPr>
        <w:t>an obstacle for the social spread</w:t>
      </w:r>
      <w:r w:rsidR="00C5011B" w:rsidRPr="00A17D9B">
        <w:rPr>
          <w:rFonts w:ascii="Garamond" w:hAnsi="Garamond"/>
          <w:noProof/>
          <w:sz w:val="24"/>
          <w:szCs w:val="24"/>
          <w:lang w:val="en-GB"/>
        </w:rPr>
        <w:t xml:space="preserve"> of new behaviors. </w:t>
      </w:r>
      <w:r w:rsidR="00DA459A" w:rsidRPr="00A17D9B">
        <w:rPr>
          <w:rFonts w:ascii="Garamond" w:hAnsi="Garamond"/>
          <w:noProof/>
          <w:sz w:val="24"/>
          <w:szCs w:val="24"/>
          <w:lang w:val="en-GB"/>
        </w:rPr>
        <w:t xml:space="preserve">Bottled </w:t>
      </w:r>
      <w:r w:rsidRPr="00A17D9B">
        <w:rPr>
          <w:rFonts w:ascii="Garamond" w:hAnsi="Garamond"/>
          <w:noProof/>
          <w:sz w:val="24"/>
          <w:szCs w:val="24"/>
          <w:lang w:val="en-GB"/>
        </w:rPr>
        <w:t xml:space="preserve">in a set of small clusters a new behavior may become that of an ‘urban tribe’ in a ghetto. </w:t>
      </w:r>
      <w:r w:rsidR="00C5011B" w:rsidRPr="00A17D9B">
        <w:rPr>
          <w:rFonts w:ascii="Garamond" w:hAnsi="Garamond"/>
          <w:noProof/>
          <w:sz w:val="24"/>
          <w:szCs w:val="24"/>
          <w:lang w:val="en-GB"/>
        </w:rPr>
        <w:t>Without ‘</w:t>
      </w:r>
      <w:r w:rsidR="00537282" w:rsidRPr="00A17D9B">
        <w:rPr>
          <w:rFonts w:ascii="Garamond" w:hAnsi="Garamond"/>
          <w:noProof/>
          <w:sz w:val="24"/>
          <w:szCs w:val="24"/>
          <w:lang w:val="en-GB"/>
        </w:rPr>
        <w:t xml:space="preserve">wide </w:t>
      </w:r>
      <w:r w:rsidR="00C5011B" w:rsidRPr="00A17D9B">
        <w:rPr>
          <w:rFonts w:ascii="Garamond" w:hAnsi="Garamond"/>
          <w:noProof/>
          <w:sz w:val="24"/>
          <w:szCs w:val="24"/>
          <w:lang w:val="en-GB"/>
        </w:rPr>
        <w:t>long bridges’, that is</w:t>
      </w:r>
      <w:r w:rsidR="004104A4" w:rsidRPr="00A17D9B">
        <w:rPr>
          <w:rFonts w:ascii="Garamond" w:hAnsi="Garamond"/>
          <w:noProof/>
          <w:sz w:val="24"/>
          <w:szCs w:val="24"/>
          <w:lang w:val="en-GB"/>
        </w:rPr>
        <w:t xml:space="preserve">, </w:t>
      </w:r>
      <w:r w:rsidR="00C5011B" w:rsidRPr="00A17D9B">
        <w:rPr>
          <w:rFonts w:ascii="Garamond" w:hAnsi="Garamond"/>
          <w:noProof/>
          <w:sz w:val="24"/>
          <w:szCs w:val="24"/>
          <w:lang w:val="en-GB"/>
        </w:rPr>
        <w:t xml:space="preserve"> relationships that link otherwise independent small cluster</w:t>
      </w:r>
      <w:r w:rsidR="00A555B8" w:rsidRPr="00A17D9B">
        <w:rPr>
          <w:rFonts w:ascii="Garamond" w:hAnsi="Garamond"/>
          <w:noProof/>
          <w:sz w:val="24"/>
          <w:szCs w:val="24"/>
          <w:lang w:val="en-GB"/>
        </w:rPr>
        <w:t>s</w:t>
      </w:r>
      <w:r w:rsidR="00C5011B" w:rsidRPr="00A17D9B">
        <w:rPr>
          <w:rFonts w:ascii="Garamond" w:hAnsi="Garamond"/>
          <w:noProof/>
          <w:sz w:val="24"/>
          <w:szCs w:val="24"/>
          <w:lang w:val="en-GB"/>
        </w:rPr>
        <w:t xml:space="preserve"> of population, most minority behavior</w:t>
      </w:r>
      <w:r w:rsidR="00A555B8" w:rsidRPr="00A17D9B">
        <w:rPr>
          <w:rFonts w:ascii="Garamond" w:hAnsi="Garamond"/>
          <w:noProof/>
          <w:sz w:val="24"/>
          <w:szCs w:val="24"/>
          <w:lang w:val="en-GB"/>
        </w:rPr>
        <w:t>s</w:t>
      </w:r>
      <w:r w:rsidR="00C5011B" w:rsidRPr="00A17D9B">
        <w:rPr>
          <w:rFonts w:ascii="Garamond" w:hAnsi="Garamond"/>
          <w:noProof/>
          <w:sz w:val="24"/>
          <w:szCs w:val="24"/>
          <w:lang w:val="en-GB"/>
        </w:rPr>
        <w:t xml:space="preserve"> will fail to </w:t>
      </w:r>
      <w:r w:rsidR="00DA459A" w:rsidRPr="00A17D9B">
        <w:rPr>
          <w:rFonts w:ascii="Garamond" w:hAnsi="Garamond"/>
          <w:noProof/>
          <w:sz w:val="24"/>
          <w:szCs w:val="24"/>
          <w:lang w:val="en-GB"/>
        </w:rPr>
        <w:t>spread beyond a limited set of population clusters</w:t>
      </w:r>
      <w:r w:rsidR="00C5011B" w:rsidRPr="00A17D9B">
        <w:rPr>
          <w:rFonts w:ascii="Garamond" w:hAnsi="Garamond"/>
          <w:noProof/>
          <w:sz w:val="24"/>
          <w:szCs w:val="24"/>
          <w:lang w:val="en-GB"/>
        </w:rPr>
        <w:t xml:space="preserve">, even if </w:t>
      </w:r>
      <w:r w:rsidR="00537282" w:rsidRPr="00A17D9B">
        <w:rPr>
          <w:rFonts w:ascii="Garamond" w:hAnsi="Garamond"/>
          <w:noProof/>
          <w:sz w:val="24"/>
          <w:szCs w:val="24"/>
          <w:lang w:val="en-GB"/>
        </w:rPr>
        <w:t>the two previous condition are met (</w:t>
      </w:r>
      <w:r w:rsidR="00537282" w:rsidRPr="00A17D9B">
        <w:rPr>
          <w:rFonts w:ascii="Garamond" w:hAnsi="Garamond"/>
          <w:i/>
          <w:iCs/>
          <w:noProof/>
          <w:sz w:val="24"/>
          <w:szCs w:val="24"/>
          <w:lang w:val="en-GB"/>
        </w:rPr>
        <w:t>strenght of the minority’s conviction</w:t>
      </w:r>
      <w:r w:rsidR="00537282" w:rsidRPr="00A17D9B">
        <w:rPr>
          <w:rFonts w:ascii="Garamond" w:hAnsi="Garamond"/>
          <w:noProof/>
          <w:sz w:val="24"/>
          <w:szCs w:val="24"/>
          <w:lang w:val="en-GB"/>
        </w:rPr>
        <w:t xml:space="preserve"> ; </w:t>
      </w:r>
      <w:r w:rsidR="00537282" w:rsidRPr="00A17D9B">
        <w:rPr>
          <w:rFonts w:ascii="Garamond" w:hAnsi="Garamond"/>
          <w:i/>
          <w:iCs/>
          <w:noProof/>
          <w:sz w:val="24"/>
          <w:szCs w:val="24"/>
          <w:lang w:val="en-GB"/>
        </w:rPr>
        <w:t>size of swing population</w:t>
      </w:r>
      <w:r w:rsidR="00537282" w:rsidRPr="00A17D9B">
        <w:rPr>
          <w:rFonts w:ascii="Garamond" w:hAnsi="Garamond"/>
          <w:noProof/>
          <w:sz w:val="24"/>
          <w:szCs w:val="24"/>
          <w:lang w:val="en-GB"/>
        </w:rPr>
        <w:t xml:space="preserve">, </w:t>
      </w:r>
      <w:r w:rsidR="00235765" w:rsidRPr="00A17D9B">
        <w:rPr>
          <w:rFonts w:ascii="Garamond" w:hAnsi="Garamond"/>
          <w:noProof/>
          <w:sz w:val="24"/>
          <w:szCs w:val="24"/>
          <w:lang w:val="en-GB"/>
        </w:rPr>
        <w:t>Ibid, 78-83)</w:t>
      </w:r>
      <w:r w:rsidR="00C5011B" w:rsidRPr="00A17D9B">
        <w:rPr>
          <w:rFonts w:ascii="Garamond" w:hAnsi="Garamond"/>
          <w:noProof/>
          <w:sz w:val="24"/>
          <w:szCs w:val="24"/>
          <w:lang w:val="en-GB"/>
        </w:rPr>
        <w:t>.</w:t>
      </w:r>
      <w:r w:rsidR="00DA459A" w:rsidRPr="00A17D9B">
        <w:rPr>
          <w:rFonts w:ascii="Garamond" w:hAnsi="Garamond"/>
          <w:noProof/>
          <w:sz w:val="24"/>
          <w:szCs w:val="24"/>
          <w:lang w:val="en-GB"/>
        </w:rPr>
        <w:t xml:space="preserve"> </w:t>
      </w:r>
      <w:r w:rsidRPr="00A17D9B">
        <w:rPr>
          <w:rFonts w:ascii="Garamond" w:hAnsi="Garamond"/>
          <w:noProof/>
          <w:sz w:val="24"/>
          <w:szCs w:val="24"/>
          <w:lang w:val="en-GB"/>
        </w:rPr>
        <w:t>The importance of these ‘wide long bridges’ is that they spread the behavior to otherwise independent sets of small clusters (long bridges) but being</w:t>
      </w:r>
      <w:r w:rsidR="004104A4" w:rsidRPr="00A17D9B">
        <w:rPr>
          <w:rFonts w:ascii="Garamond" w:hAnsi="Garamond"/>
          <w:noProof/>
          <w:sz w:val="24"/>
          <w:szCs w:val="24"/>
          <w:lang w:val="en-GB"/>
        </w:rPr>
        <w:t xml:space="preserve"> that they are</w:t>
      </w:r>
      <w:r w:rsidRPr="00A17D9B">
        <w:rPr>
          <w:rFonts w:ascii="Garamond" w:hAnsi="Garamond"/>
          <w:noProof/>
          <w:sz w:val="24"/>
          <w:szCs w:val="24"/>
          <w:lang w:val="en-GB"/>
        </w:rPr>
        <w:t xml:space="preserve"> ‘wide</w:t>
      </w:r>
      <w:r w:rsidR="004104A4" w:rsidRPr="00A17D9B">
        <w:rPr>
          <w:rFonts w:ascii="Garamond" w:hAnsi="Garamond"/>
          <w:noProof/>
          <w:sz w:val="24"/>
          <w:szCs w:val="24"/>
          <w:lang w:val="en-GB"/>
        </w:rPr>
        <w:t>,</w:t>
      </w:r>
      <w:r w:rsidRPr="00A17D9B">
        <w:rPr>
          <w:rFonts w:ascii="Garamond" w:hAnsi="Garamond"/>
          <w:noProof/>
          <w:sz w:val="24"/>
          <w:szCs w:val="24"/>
          <w:lang w:val="en-GB"/>
        </w:rPr>
        <w:t>’ (more than two relationships per bridge)</w:t>
      </w:r>
      <w:r w:rsidR="004104A4" w:rsidRPr="00A17D9B">
        <w:rPr>
          <w:rFonts w:ascii="Garamond" w:hAnsi="Garamond"/>
          <w:noProof/>
          <w:sz w:val="24"/>
          <w:szCs w:val="24"/>
          <w:lang w:val="en-GB"/>
        </w:rPr>
        <w:t xml:space="preserve"> they</w:t>
      </w:r>
      <w:r w:rsidRPr="00A17D9B">
        <w:rPr>
          <w:rFonts w:ascii="Garamond" w:hAnsi="Garamond"/>
          <w:noProof/>
          <w:sz w:val="24"/>
          <w:szCs w:val="24"/>
          <w:lang w:val="en-GB"/>
        </w:rPr>
        <w:t xml:space="preserve"> also have the reinforcement effect needed for the behavior to be adopted. </w:t>
      </w:r>
    </w:p>
    <w:p w14:paraId="1C963B17" w14:textId="2A64E29A" w:rsidR="00BA1D8D" w:rsidRPr="00A17D9B" w:rsidRDefault="00BA1D8D" w:rsidP="006C7AD4">
      <w:pPr>
        <w:spacing w:before="120" w:after="0" w:line="320" w:lineRule="atLeast"/>
        <w:jc w:val="both"/>
        <w:rPr>
          <w:rFonts w:ascii="Garamond" w:hAnsi="Garamond"/>
          <w:noProof/>
          <w:sz w:val="24"/>
          <w:szCs w:val="24"/>
          <w:lang w:val="en-GB"/>
        </w:rPr>
      </w:pPr>
      <w:r w:rsidRPr="00A17D9B">
        <w:rPr>
          <w:rFonts w:ascii="Garamond" w:hAnsi="Garamond"/>
          <w:noProof/>
          <w:sz w:val="24"/>
          <w:szCs w:val="24"/>
          <w:lang w:val="en-GB"/>
        </w:rPr>
        <w:t>In the case of our metric, we will retain the three first fea</w:t>
      </w:r>
      <w:r w:rsidR="004104A4" w:rsidRPr="00A17D9B">
        <w:rPr>
          <w:rFonts w:ascii="Garamond" w:hAnsi="Garamond"/>
          <w:noProof/>
          <w:sz w:val="24"/>
          <w:szCs w:val="24"/>
          <w:lang w:val="en-GB"/>
        </w:rPr>
        <w:t>tures presented here</w:t>
      </w:r>
      <w:r w:rsidR="00537282" w:rsidRPr="00A17D9B">
        <w:rPr>
          <w:rFonts w:ascii="Garamond" w:hAnsi="Garamond"/>
          <w:noProof/>
          <w:sz w:val="24"/>
          <w:szCs w:val="24"/>
          <w:lang w:val="en-GB"/>
        </w:rPr>
        <w:t xml:space="preserve"> namely – </w:t>
      </w:r>
      <w:r w:rsidR="00537282" w:rsidRPr="00A17D9B">
        <w:rPr>
          <w:rFonts w:ascii="Garamond" w:hAnsi="Garamond"/>
          <w:i/>
          <w:iCs/>
          <w:noProof/>
          <w:sz w:val="24"/>
          <w:szCs w:val="24"/>
          <w:lang w:val="en-GB"/>
        </w:rPr>
        <w:t>size</w:t>
      </w:r>
      <w:r w:rsidR="00537282" w:rsidRPr="00A17D9B">
        <w:rPr>
          <w:rFonts w:ascii="Garamond" w:hAnsi="Garamond"/>
          <w:noProof/>
          <w:sz w:val="24"/>
          <w:szCs w:val="24"/>
          <w:lang w:val="en-GB"/>
        </w:rPr>
        <w:t xml:space="preserve">, </w:t>
      </w:r>
      <w:r w:rsidR="00537282" w:rsidRPr="00A17D9B">
        <w:rPr>
          <w:rFonts w:ascii="Garamond" w:hAnsi="Garamond"/>
          <w:i/>
          <w:iCs/>
          <w:noProof/>
          <w:sz w:val="24"/>
          <w:szCs w:val="24"/>
          <w:lang w:val="en-GB"/>
        </w:rPr>
        <w:t>strenght</w:t>
      </w:r>
      <w:r w:rsidR="00537282" w:rsidRPr="00A17D9B">
        <w:rPr>
          <w:rFonts w:ascii="Garamond" w:hAnsi="Garamond"/>
          <w:noProof/>
          <w:sz w:val="24"/>
          <w:szCs w:val="24"/>
          <w:lang w:val="en-GB"/>
        </w:rPr>
        <w:t xml:space="preserve"> and </w:t>
      </w:r>
      <w:r w:rsidR="00537282" w:rsidRPr="00A17D9B">
        <w:rPr>
          <w:rFonts w:ascii="Garamond" w:hAnsi="Garamond"/>
          <w:i/>
          <w:iCs/>
          <w:noProof/>
          <w:sz w:val="24"/>
          <w:szCs w:val="24"/>
          <w:lang w:val="en-GB"/>
        </w:rPr>
        <w:t xml:space="preserve">swing </w:t>
      </w:r>
      <w:r w:rsidR="00537282" w:rsidRPr="00A17D9B">
        <w:rPr>
          <w:rFonts w:ascii="Garamond" w:hAnsi="Garamond"/>
          <w:noProof/>
          <w:sz w:val="24"/>
          <w:szCs w:val="24"/>
          <w:lang w:val="en-GB"/>
        </w:rPr>
        <w:t xml:space="preserve">- </w:t>
      </w:r>
      <w:r w:rsidR="004104A4" w:rsidRPr="00A17D9B">
        <w:rPr>
          <w:rFonts w:ascii="Garamond" w:hAnsi="Garamond"/>
          <w:noProof/>
          <w:sz w:val="24"/>
          <w:szCs w:val="24"/>
          <w:lang w:val="en-GB"/>
        </w:rPr>
        <w:t xml:space="preserve"> to analyse</w:t>
      </w:r>
      <w:r w:rsidRPr="00A17D9B">
        <w:rPr>
          <w:rFonts w:ascii="Garamond" w:hAnsi="Garamond"/>
          <w:noProof/>
          <w:sz w:val="24"/>
          <w:szCs w:val="24"/>
          <w:lang w:val="en-GB"/>
        </w:rPr>
        <w:t xml:space="preserve"> the stability of our five key drivers. </w:t>
      </w:r>
      <w:r w:rsidR="00537282" w:rsidRPr="00A17D9B">
        <w:rPr>
          <w:rFonts w:ascii="Garamond" w:hAnsi="Garamond"/>
          <w:noProof/>
          <w:sz w:val="24"/>
          <w:szCs w:val="24"/>
          <w:lang w:val="en-GB"/>
        </w:rPr>
        <w:t xml:space="preserve">We assume that the </w:t>
      </w:r>
      <w:r w:rsidR="005C752F" w:rsidRPr="00A17D9B">
        <w:rPr>
          <w:rFonts w:ascii="Garamond" w:hAnsi="Garamond"/>
          <w:noProof/>
          <w:sz w:val="24"/>
          <w:szCs w:val="24"/>
          <w:lang w:val="en-GB"/>
        </w:rPr>
        <w:t xml:space="preserve">fourth feature (strong ties </w:t>
      </w:r>
      <w:r w:rsidRPr="00A17D9B">
        <w:rPr>
          <w:rFonts w:ascii="Garamond" w:hAnsi="Garamond"/>
          <w:noProof/>
          <w:sz w:val="24"/>
          <w:szCs w:val="24"/>
          <w:lang w:val="en-GB"/>
        </w:rPr>
        <w:t xml:space="preserve">clusters and </w:t>
      </w:r>
      <w:r w:rsidR="005C752F" w:rsidRPr="00A17D9B">
        <w:rPr>
          <w:rFonts w:ascii="Garamond" w:hAnsi="Garamond"/>
          <w:noProof/>
          <w:sz w:val="24"/>
          <w:szCs w:val="24"/>
          <w:lang w:val="en-GB"/>
        </w:rPr>
        <w:t xml:space="preserve">existence </w:t>
      </w:r>
      <w:r w:rsidRPr="00A17D9B">
        <w:rPr>
          <w:rFonts w:ascii="Garamond" w:hAnsi="Garamond"/>
          <w:noProof/>
          <w:sz w:val="24"/>
          <w:szCs w:val="24"/>
          <w:lang w:val="en-GB"/>
        </w:rPr>
        <w:t xml:space="preserve">of </w:t>
      </w:r>
      <w:r w:rsidR="005C752F" w:rsidRPr="00A17D9B">
        <w:rPr>
          <w:rFonts w:ascii="Garamond" w:hAnsi="Garamond"/>
          <w:noProof/>
          <w:sz w:val="24"/>
          <w:szCs w:val="24"/>
          <w:lang w:val="en-GB"/>
        </w:rPr>
        <w:t>‘</w:t>
      </w:r>
      <w:r w:rsidRPr="00A17D9B">
        <w:rPr>
          <w:rFonts w:ascii="Garamond" w:hAnsi="Garamond"/>
          <w:noProof/>
          <w:sz w:val="24"/>
          <w:szCs w:val="24"/>
          <w:lang w:val="en-GB"/>
        </w:rPr>
        <w:t>wide long bridges</w:t>
      </w:r>
      <w:r w:rsidR="005C752F" w:rsidRPr="00A17D9B">
        <w:rPr>
          <w:rFonts w:ascii="Garamond" w:hAnsi="Garamond"/>
          <w:noProof/>
          <w:sz w:val="24"/>
          <w:szCs w:val="24"/>
          <w:lang w:val="en-GB"/>
        </w:rPr>
        <w:t xml:space="preserve">’) </w:t>
      </w:r>
      <w:r w:rsidR="00537282" w:rsidRPr="00A17D9B">
        <w:rPr>
          <w:rFonts w:ascii="Garamond" w:hAnsi="Garamond"/>
          <w:noProof/>
          <w:sz w:val="24"/>
          <w:szCs w:val="24"/>
          <w:lang w:val="en-GB"/>
        </w:rPr>
        <w:t>exist</w:t>
      </w:r>
      <w:r w:rsidR="005C752F" w:rsidRPr="00A17D9B">
        <w:rPr>
          <w:rFonts w:ascii="Garamond" w:hAnsi="Garamond"/>
          <w:noProof/>
          <w:sz w:val="24"/>
          <w:szCs w:val="24"/>
          <w:lang w:val="en-GB"/>
        </w:rPr>
        <w:t>, as we work at local level and in a Mexican context, where rich</w:t>
      </w:r>
      <w:r w:rsidR="00012888" w:rsidRPr="00A17D9B">
        <w:rPr>
          <w:rFonts w:ascii="Garamond" w:hAnsi="Garamond"/>
          <w:noProof/>
          <w:sz w:val="24"/>
          <w:szCs w:val="24"/>
          <w:lang w:val="en-GB"/>
        </w:rPr>
        <w:t xml:space="preserve">, </w:t>
      </w:r>
      <w:r w:rsidR="005C752F" w:rsidRPr="00A17D9B">
        <w:rPr>
          <w:rFonts w:ascii="Garamond" w:hAnsi="Garamond"/>
          <w:noProof/>
          <w:sz w:val="24"/>
          <w:szCs w:val="24"/>
          <w:lang w:val="en-GB"/>
        </w:rPr>
        <w:t xml:space="preserve">strong </w:t>
      </w:r>
      <w:r w:rsidR="00012888" w:rsidRPr="00A17D9B">
        <w:rPr>
          <w:rFonts w:ascii="Garamond" w:hAnsi="Garamond"/>
          <w:noProof/>
          <w:sz w:val="24"/>
          <w:szCs w:val="24"/>
          <w:lang w:val="en-GB"/>
        </w:rPr>
        <w:t xml:space="preserve">and interrelated </w:t>
      </w:r>
      <w:r w:rsidR="005C752F" w:rsidRPr="00A17D9B">
        <w:rPr>
          <w:rFonts w:ascii="Garamond" w:hAnsi="Garamond"/>
          <w:noProof/>
          <w:sz w:val="24"/>
          <w:szCs w:val="24"/>
          <w:lang w:val="en-GB"/>
        </w:rPr>
        <w:t xml:space="preserve">clusters of relationships are the norm.  </w:t>
      </w:r>
    </w:p>
    <w:p w14:paraId="2675940E" w14:textId="329BC456" w:rsidR="003A0863" w:rsidRPr="00A17D9B" w:rsidRDefault="004104A4" w:rsidP="007623CF">
      <w:pPr>
        <w:pStyle w:val="Subttulo"/>
        <w:spacing w:before="240" w:after="120"/>
        <w:jc w:val="right"/>
        <w:rPr>
          <w:noProof/>
          <w:lang w:val="en-GB"/>
        </w:rPr>
      </w:pPr>
      <w:r w:rsidRPr="00A17D9B">
        <w:rPr>
          <w:noProof/>
          <w:lang w:val="en-GB"/>
        </w:rPr>
        <w:t>Measuring the Five Key Drivers as Positive or N</w:t>
      </w:r>
      <w:r w:rsidR="003A0863" w:rsidRPr="00A17D9B">
        <w:rPr>
          <w:noProof/>
          <w:lang w:val="en-GB"/>
        </w:rPr>
        <w:t>egative</w:t>
      </w:r>
      <w:r w:rsidRPr="00A17D9B">
        <w:rPr>
          <w:noProof/>
          <w:lang w:val="en-GB"/>
        </w:rPr>
        <w:t xml:space="preserve"> Social D</w:t>
      </w:r>
      <w:r w:rsidR="003A0863" w:rsidRPr="00A17D9B">
        <w:rPr>
          <w:noProof/>
          <w:lang w:val="en-GB"/>
        </w:rPr>
        <w:t>ynamics</w:t>
      </w:r>
    </w:p>
    <w:p w14:paraId="60F4C032" w14:textId="77777777" w:rsidR="00734312" w:rsidRPr="00A17D9B" w:rsidRDefault="005C752F" w:rsidP="006C7AD4">
      <w:pPr>
        <w:spacing w:before="120" w:after="0" w:line="320" w:lineRule="atLeast"/>
        <w:rPr>
          <w:rFonts w:ascii="Garamond" w:hAnsi="Garamond"/>
          <w:noProof/>
          <w:sz w:val="24"/>
          <w:szCs w:val="24"/>
          <w:lang w:val="en-GB"/>
        </w:rPr>
      </w:pPr>
      <w:r w:rsidRPr="00A17D9B">
        <w:rPr>
          <w:rFonts w:ascii="Garamond" w:hAnsi="Garamond"/>
          <w:noProof/>
          <w:sz w:val="24"/>
          <w:szCs w:val="24"/>
          <w:lang w:val="en-GB"/>
        </w:rPr>
        <w:t xml:space="preserve">The previous point allows us to propose an analysis of the different shapes </w:t>
      </w:r>
      <w:r w:rsidR="00B102A0" w:rsidRPr="00A17D9B">
        <w:rPr>
          <w:rFonts w:ascii="Garamond" w:hAnsi="Garamond"/>
          <w:noProof/>
          <w:sz w:val="24"/>
          <w:szCs w:val="24"/>
          <w:lang w:val="en-GB"/>
        </w:rPr>
        <w:t xml:space="preserve">taken by our results on the </w:t>
      </w:r>
      <w:r w:rsidRPr="00A17D9B">
        <w:rPr>
          <w:rFonts w:ascii="Garamond" w:hAnsi="Garamond"/>
          <w:noProof/>
          <w:sz w:val="24"/>
          <w:szCs w:val="24"/>
          <w:lang w:val="en-GB"/>
        </w:rPr>
        <w:t>Likert scale</w:t>
      </w:r>
      <w:r w:rsidR="00B102A0" w:rsidRPr="00A17D9B">
        <w:rPr>
          <w:rFonts w:ascii="Garamond" w:hAnsi="Garamond"/>
          <w:noProof/>
          <w:sz w:val="24"/>
          <w:szCs w:val="24"/>
          <w:lang w:val="en-GB"/>
        </w:rPr>
        <w:t xml:space="preserve">. </w:t>
      </w:r>
    </w:p>
    <w:p w14:paraId="10CBD7CB" w14:textId="6817363F" w:rsidR="00734312" w:rsidRPr="00A17D9B" w:rsidRDefault="00B102A0" w:rsidP="006C7AD4">
      <w:pPr>
        <w:pStyle w:val="Prrafodelista"/>
        <w:numPr>
          <w:ilvl w:val="0"/>
          <w:numId w:val="9"/>
        </w:numPr>
        <w:spacing w:before="120" w:after="0" w:line="320" w:lineRule="atLeast"/>
        <w:rPr>
          <w:rFonts w:ascii="Garamond" w:hAnsi="Garamond"/>
          <w:noProof/>
          <w:sz w:val="24"/>
          <w:szCs w:val="24"/>
          <w:lang w:val="en-GB"/>
        </w:rPr>
      </w:pPr>
      <w:r w:rsidRPr="00A17D9B">
        <w:rPr>
          <w:rFonts w:ascii="Garamond" w:hAnsi="Garamond"/>
          <w:noProof/>
          <w:sz w:val="24"/>
          <w:szCs w:val="24"/>
          <w:lang w:val="en-GB"/>
        </w:rPr>
        <w:t xml:space="preserve">We may have </w:t>
      </w:r>
      <w:r w:rsidRPr="00A17D9B">
        <w:rPr>
          <w:rFonts w:ascii="Garamond" w:hAnsi="Garamond"/>
          <w:b/>
          <w:bCs/>
          <w:noProof/>
          <w:sz w:val="24"/>
          <w:szCs w:val="24"/>
          <w:lang w:val="en-GB"/>
        </w:rPr>
        <w:t>L</w:t>
      </w:r>
      <w:r w:rsidRPr="00A17D9B">
        <w:rPr>
          <w:rFonts w:ascii="Garamond" w:hAnsi="Garamond"/>
          <w:noProof/>
          <w:sz w:val="24"/>
          <w:szCs w:val="24"/>
          <w:lang w:val="en-GB"/>
        </w:rPr>
        <w:t xml:space="preserve"> shape</w:t>
      </w:r>
      <w:r w:rsidR="00734312" w:rsidRPr="00A17D9B">
        <w:rPr>
          <w:rFonts w:ascii="Garamond" w:hAnsi="Garamond"/>
          <w:noProof/>
          <w:sz w:val="24"/>
          <w:szCs w:val="24"/>
          <w:lang w:val="en-GB"/>
        </w:rPr>
        <w:t>s</w:t>
      </w:r>
      <w:r w:rsidRPr="00A17D9B">
        <w:rPr>
          <w:rFonts w:ascii="Garamond" w:hAnsi="Garamond"/>
          <w:noProof/>
          <w:sz w:val="24"/>
          <w:szCs w:val="24"/>
          <w:lang w:val="en-GB"/>
        </w:rPr>
        <w:t xml:space="preserve"> (</w:t>
      </w:r>
      <w:r w:rsidR="00734312" w:rsidRPr="00A17D9B">
        <w:rPr>
          <w:rFonts w:ascii="Garamond" w:hAnsi="Garamond"/>
          <w:noProof/>
          <w:sz w:val="24"/>
          <w:szCs w:val="24"/>
          <w:lang w:val="en-GB"/>
        </w:rPr>
        <w:t xml:space="preserve">respectively inverted </w:t>
      </w:r>
      <w:r w:rsidRPr="00A17D9B">
        <w:rPr>
          <w:rFonts w:cs="Times New Roman"/>
          <w:b/>
          <w:bCs/>
          <w:noProof/>
          <w:sz w:val="24"/>
          <w:szCs w:val="24"/>
          <w:lang w:val="en-GB"/>
        </w:rPr>
        <w:t>˩</w:t>
      </w:r>
      <w:r w:rsidRPr="00A17D9B">
        <w:rPr>
          <w:rFonts w:ascii="Garamond" w:hAnsi="Garamond"/>
          <w:noProof/>
          <w:sz w:val="24"/>
          <w:szCs w:val="24"/>
          <w:lang w:val="en-GB"/>
        </w:rPr>
        <w:t xml:space="preserve"> shape</w:t>
      </w:r>
      <w:r w:rsidR="00734312" w:rsidRPr="00A17D9B">
        <w:rPr>
          <w:rFonts w:ascii="Garamond" w:hAnsi="Garamond"/>
          <w:noProof/>
          <w:sz w:val="24"/>
          <w:szCs w:val="24"/>
          <w:lang w:val="en-GB"/>
        </w:rPr>
        <w:t>s</w:t>
      </w:r>
      <w:r w:rsidRPr="00A17D9B">
        <w:rPr>
          <w:rFonts w:ascii="Garamond" w:hAnsi="Garamond"/>
          <w:noProof/>
          <w:sz w:val="24"/>
          <w:szCs w:val="24"/>
          <w:lang w:val="en-GB"/>
        </w:rPr>
        <w:t xml:space="preserve">), characterized by high TA and A (respectively </w:t>
      </w:r>
      <w:r w:rsidR="00734312" w:rsidRPr="00A17D9B">
        <w:rPr>
          <w:rFonts w:ascii="Garamond" w:hAnsi="Garamond"/>
          <w:noProof/>
          <w:sz w:val="24"/>
          <w:szCs w:val="24"/>
          <w:lang w:val="en-GB"/>
        </w:rPr>
        <w:t xml:space="preserve">high </w:t>
      </w:r>
      <w:r w:rsidRPr="00A17D9B">
        <w:rPr>
          <w:rFonts w:ascii="Garamond" w:hAnsi="Garamond"/>
          <w:noProof/>
          <w:sz w:val="24"/>
          <w:szCs w:val="24"/>
          <w:lang w:val="en-GB"/>
        </w:rPr>
        <w:t xml:space="preserve">TD and </w:t>
      </w:r>
      <w:r w:rsidR="00734312" w:rsidRPr="00A17D9B">
        <w:rPr>
          <w:rFonts w:ascii="Garamond" w:hAnsi="Garamond"/>
          <w:noProof/>
          <w:sz w:val="24"/>
          <w:szCs w:val="24"/>
          <w:lang w:val="en-GB"/>
        </w:rPr>
        <w:t xml:space="preserve">D) while other answers stay below 20%. </w:t>
      </w:r>
      <w:r w:rsidR="00734312" w:rsidRPr="00A17D9B">
        <w:rPr>
          <w:rFonts w:ascii="Garamond" w:hAnsi="Garamond"/>
          <w:b/>
          <w:bCs/>
          <w:noProof/>
          <w:sz w:val="24"/>
          <w:szCs w:val="24"/>
          <w:lang w:val="en-GB"/>
        </w:rPr>
        <w:t>L</w:t>
      </w:r>
      <w:r w:rsidR="00734312" w:rsidRPr="00A17D9B">
        <w:rPr>
          <w:rFonts w:ascii="Garamond" w:hAnsi="Garamond"/>
          <w:noProof/>
          <w:sz w:val="24"/>
          <w:szCs w:val="24"/>
          <w:lang w:val="en-GB"/>
        </w:rPr>
        <w:t xml:space="preserve"> shapes describe </w:t>
      </w:r>
      <w:r w:rsidR="00734312" w:rsidRPr="00A17D9B">
        <w:rPr>
          <w:rFonts w:ascii="Garamond" w:hAnsi="Garamond"/>
          <w:i/>
          <w:iCs/>
          <w:noProof/>
          <w:sz w:val="24"/>
          <w:szCs w:val="24"/>
          <w:lang w:val="en-GB"/>
        </w:rPr>
        <w:t>stable dominant social norms</w:t>
      </w:r>
      <w:r w:rsidR="00734312" w:rsidRPr="00A17D9B">
        <w:rPr>
          <w:rFonts w:ascii="Garamond" w:hAnsi="Garamond"/>
          <w:noProof/>
          <w:sz w:val="24"/>
          <w:szCs w:val="24"/>
          <w:lang w:val="en-GB"/>
        </w:rPr>
        <w:t>, either negative or positive.</w:t>
      </w:r>
    </w:p>
    <w:p w14:paraId="4E6914B3" w14:textId="4BB88733" w:rsidR="00161594" w:rsidRPr="00A17D9B" w:rsidRDefault="00734312" w:rsidP="006C7AD4">
      <w:pPr>
        <w:pStyle w:val="Prrafodelista"/>
        <w:numPr>
          <w:ilvl w:val="0"/>
          <w:numId w:val="9"/>
        </w:numPr>
        <w:spacing w:before="120" w:after="0" w:line="320" w:lineRule="atLeast"/>
        <w:rPr>
          <w:rFonts w:ascii="Garamond" w:hAnsi="Garamond"/>
          <w:noProof/>
          <w:sz w:val="24"/>
          <w:szCs w:val="24"/>
          <w:lang w:val="en-GB"/>
        </w:rPr>
      </w:pPr>
      <w:r w:rsidRPr="00A17D9B">
        <w:rPr>
          <w:rFonts w:ascii="Garamond" w:hAnsi="Garamond"/>
          <w:noProof/>
          <w:sz w:val="24"/>
          <w:szCs w:val="24"/>
          <w:lang w:val="en-GB"/>
        </w:rPr>
        <w:t xml:space="preserve">We may have </w:t>
      </w:r>
      <w:r w:rsidRPr="00A17D9B">
        <w:rPr>
          <w:rFonts w:ascii="Garamond" w:hAnsi="Garamond"/>
          <w:b/>
          <w:bCs/>
          <w:noProof/>
          <w:sz w:val="24"/>
          <w:szCs w:val="24"/>
          <w:lang w:val="en-GB"/>
        </w:rPr>
        <w:t>M</w:t>
      </w:r>
      <w:r w:rsidRPr="00A17D9B">
        <w:rPr>
          <w:rFonts w:ascii="Garamond" w:hAnsi="Garamond"/>
          <w:noProof/>
          <w:sz w:val="24"/>
          <w:szCs w:val="24"/>
          <w:lang w:val="en-GB"/>
        </w:rPr>
        <w:t xml:space="preserve"> shapes with more or less bigger feet at the right or at the left. (TD+D) and (TA+A) are bigger than 25 % while the </w:t>
      </w:r>
      <w:r w:rsidR="00161594" w:rsidRPr="00A17D9B">
        <w:rPr>
          <w:rFonts w:ascii="Garamond" w:hAnsi="Garamond"/>
          <w:noProof/>
          <w:sz w:val="24"/>
          <w:szCs w:val="24"/>
          <w:lang w:val="en-GB"/>
        </w:rPr>
        <w:t>(</w:t>
      </w:r>
      <w:r w:rsidRPr="00A17D9B">
        <w:rPr>
          <w:rFonts w:ascii="Garamond" w:hAnsi="Garamond"/>
          <w:noProof/>
          <w:sz w:val="24"/>
          <w:szCs w:val="24"/>
          <w:lang w:val="en-GB"/>
        </w:rPr>
        <w:t>NN</w:t>
      </w:r>
      <w:r w:rsidR="00161594" w:rsidRPr="00A17D9B">
        <w:rPr>
          <w:rFonts w:ascii="Garamond" w:hAnsi="Garamond"/>
          <w:noProof/>
          <w:sz w:val="24"/>
          <w:szCs w:val="24"/>
          <w:lang w:val="en-GB"/>
        </w:rPr>
        <w:t>)</w:t>
      </w:r>
      <w:r w:rsidR="00A80A77" w:rsidRPr="00A17D9B">
        <w:rPr>
          <w:rFonts w:ascii="Garamond" w:hAnsi="Garamond"/>
          <w:noProof/>
          <w:sz w:val="24"/>
          <w:szCs w:val="24"/>
          <w:lang w:val="en-GB"/>
        </w:rPr>
        <w:t xml:space="preserve"> answers stay low. This </w:t>
      </w:r>
      <w:r w:rsidRPr="00A17D9B">
        <w:rPr>
          <w:rFonts w:ascii="Garamond" w:hAnsi="Garamond"/>
          <w:noProof/>
          <w:sz w:val="24"/>
          <w:szCs w:val="24"/>
          <w:lang w:val="en-GB"/>
        </w:rPr>
        <w:t xml:space="preserve">points to a polarized situation, </w:t>
      </w:r>
      <w:r w:rsidR="00A80A77" w:rsidRPr="00A17D9B">
        <w:rPr>
          <w:rFonts w:ascii="Garamond" w:hAnsi="Garamond"/>
          <w:noProof/>
          <w:sz w:val="24"/>
          <w:szCs w:val="24"/>
          <w:lang w:val="en-GB"/>
        </w:rPr>
        <w:t>with one norm</w:t>
      </w:r>
      <w:r w:rsidR="00161594" w:rsidRPr="00A17D9B">
        <w:rPr>
          <w:rFonts w:ascii="Garamond" w:hAnsi="Garamond"/>
          <w:noProof/>
          <w:sz w:val="24"/>
          <w:szCs w:val="24"/>
          <w:lang w:val="en-GB"/>
        </w:rPr>
        <w:t xml:space="preserve"> still prevailing a strong opposition but not enough switch population to tip over the prevailing norm. </w:t>
      </w:r>
      <w:r w:rsidR="00161594" w:rsidRPr="00A17D9B">
        <w:rPr>
          <w:rFonts w:ascii="Garamond" w:hAnsi="Garamond"/>
          <w:b/>
          <w:bCs/>
          <w:noProof/>
          <w:sz w:val="24"/>
          <w:szCs w:val="24"/>
          <w:lang w:val="en-GB"/>
        </w:rPr>
        <w:t>M</w:t>
      </w:r>
      <w:r w:rsidR="00161594" w:rsidRPr="00A17D9B">
        <w:rPr>
          <w:rFonts w:ascii="Garamond" w:hAnsi="Garamond"/>
          <w:noProof/>
          <w:sz w:val="24"/>
          <w:szCs w:val="24"/>
          <w:lang w:val="en-GB"/>
        </w:rPr>
        <w:t xml:space="preserve"> shapes describe </w:t>
      </w:r>
      <w:r w:rsidR="00161594" w:rsidRPr="00A17D9B">
        <w:rPr>
          <w:rFonts w:ascii="Garamond" w:hAnsi="Garamond"/>
          <w:i/>
          <w:iCs/>
          <w:noProof/>
          <w:sz w:val="24"/>
          <w:szCs w:val="24"/>
          <w:lang w:val="en-GB"/>
        </w:rPr>
        <w:t>fragilized social norms</w:t>
      </w:r>
      <w:r w:rsidR="00161594" w:rsidRPr="00A17D9B">
        <w:rPr>
          <w:rFonts w:ascii="Garamond" w:hAnsi="Garamond"/>
          <w:noProof/>
          <w:sz w:val="24"/>
          <w:szCs w:val="24"/>
          <w:lang w:val="en-GB"/>
        </w:rPr>
        <w:t>, either negative or positive.</w:t>
      </w:r>
    </w:p>
    <w:p w14:paraId="518335F6" w14:textId="11B1D706" w:rsidR="00734312" w:rsidRPr="00A17D9B" w:rsidRDefault="00161594" w:rsidP="006C7AD4">
      <w:pPr>
        <w:pStyle w:val="Prrafodelista"/>
        <w:numPr>
          <w:ilvl w:val="0"/>
          <w:numId w:val="9"/>
        </w:numPr>
        <w:spacing w:before="120" w:after="0" w:line="320" w:lineRule="atLeast"/>
        <w:rPr>
          <w:rFonts w:ascii="Garamond" w:hAnsi="Garamond"/>
          <w:noProof/>
          <w:sz w:val="24"/>
          <w:szCs w:val="24"/>
          <w:lang w:val="en-GB"/>
        </w:rPr>
      </w:pPr>
      <w:r w:rsidRPr="00A17D9B">
        <w:rPr>
          <w:rFonts w:ascii="Garamond" w:hAnsi="Garamond"/>
          <w:noProof/>
          <w:sz w:val="24"/>
          <w:szCs w:val="24"/>
          <w:lang w:val="en-GB"/>
        </w:rPr>
        <w:t xml:space="preserve">We finally may find different forms of </w:t>
      </w:r>
      <w:r w:rsidRPr="00A17D9B">
        <w:rPr>
          <w:rFonts w:ascii="Garamond" w:hAnsi="Garamond" w:cstheme="minorHAnsi"/>
          <w:b/>
          <w:bCs/>
          <w:noProof/>
          <w:sz w:val="24"/>
          <w:szCs w:val="24"/>
          <w:lang w:val="en-GB"/>
        </w:rPr>
        <w:t>Δ</w:t>
      </w:r>
      <w:r w:rsidRPr="00A17D9B">
        <w:rPr>
          <w:rFonts w:ascii="Garamond" w:hAnsi="Garamond"/>
          <w:noProof/>
          <w:sz w:val="24"/>
          <w:szCs w:val="24"/>
          <w:lang w:val="en-GB"/>
        </w:rPr>
        <w:t xml:space="preserve"> shapes corresponding to the tipping zone or tipping threshold with bigger level</w:t>
      </w:r>
      <w:r w:rsidR="00A80A77" w:rsidRPr="00A17D9B">
        <w:rPr>
          <w:rFonts w:ascii="Garamond" w:hAnsi="Garamond"/>
          <w:noProof/>
          <w:sz w:val="24"/>
          <w:szCs w:val="24"/>
          <w:lang w:val="en-GB"/>
        </w:rPr>
        <w:t>s</w:t>
      </w:r>
      <w:r w:rsidRPr="00A17D9B">
        <w:rPr>
          <w:rFonts w:ascii="Garamond" w:hAnsi="Garamond"/>
          <w:noProof/>
          <w:sz w:val="24"/>
          <w:szCs w:val="24"/>
          <w:lang w:val="en-GB"/>
        </w:rPr>
        <w:t xml:space="preserve"> of (NN) than (D) or (A). </w:t>
      </w:r>
      <w:r w:rsidRPr="00A17D9B">
        <w:rPr>
          <w:rFonts w:ascii="Garamond" w:hAnsi="Garamond"/>
          <w:b/>
          <w:bCs/>
          <w:noProof/>
          <w:sz w:val="24"/>
          <w:szCs w:val="24"/>
          <w:lang w:val="en-GB"/>
        </w:rPr>
        <w:t>Δ</w:t>
      </w:r>
      <w:r w:rsidRPr="00A17D9B">
        <w:rPr>
          <w:rFonts w:ascii="Garamond" w:hAnsi="Garamond"/>
          <w:noProof/>
          <w:sz w:val="24"/>
          <w:szCs w:val="24"/>
          <w:lang w:val="en-GB"/>
        </w:rPr>
        <w:t xml:space="preserve"> shapes describe different level</w:t>
      </w:r>
      <w:r w:rsidR="00A80A77" w:rsidRPr="00A17D9B">
        <w:rPr>
          <w:rFonts w:ascii="Garamond" w:hAnsi="Garamond"/>
          <w:noProof/>
          <w:sz w:val="24"/>
          <w:szCs w:val="24"/>
          <w:lang w:val="en-GB"/>
        </w:rPr>
        <w:t>s</w:t>
      </w:r>
      <w:r w:rsidRPr="00A17D9B">
        <w:rPr>
          <w:rFonts w:ascii="Garamond" w:hAnsi="Garamond"/>
          <w:noProof/>
          <w:sz w:val="24"/>
          <w:szCs w:val="24"/>
          <w:lang w:val="en-GB"/>
        </w:rPr>
        <w:t xml:space="preserve"> of anomia where swift change of </w:t>
      </w:r>
      <w:r w:rsidR="00BF31B3" w:rsidRPr="00A17D9B">
        <w:rPr>
          <w:rFonts w:ascii="Garamond" w:hAnsi="Garamond"/>
          <w:noProof/>
          <w:sz w:val="24"/>
          <w:szCs w:val="24"/>
          <w:lang w:val="en-GB"/>
        </w:rPr>
        <w:t>social norms are to be expected</w:t>
      </w:r>
      <w:r w:rsidRPr="00A17D9B">
        <w:rPr>
          <w:rFonts w:ascii="Garamond" w:hAnsi="Garamond"/>
          <w:noProof/>
          <w:sz w:val="24"/>
          <w:szCs w:val="24"/>
          <w:lang w:val="en-GB"/>
        </w:rPr>
        <w:t xml:space="preserve">. </w:t>
      </w:r>
    </w:p>
    <w:p w14:paraId="5864F2F6" w14:textId="53BF7B2A" w:rsidR="00BF31B3" w:rsidRPr="00A17D9B" w:rsidRDefault="00BF31B3" w:rsidP="006C7AD4">
      <w:pPr>
        <w:spacing w:before="120" w:after="0" w:line="320" w:lineRule="atLeast"/>
        <w:rPr>
          <w:rFonts w:ascii="Garamond" w:hAnsi="Garamond"/>
          <w:noProof/>
          <w:sz w:val="24"/>
          <w:szCs w:val="24"/>
          <w:lang w:val="en-GB"/>
        </w:rPr>
      </w:pPr>
      <w:r w:rsidRPr="00A17D9B">
        <w:rPr>
          <w:rFonts w:ascii="Garamond" w:hAnsi="Garamond"/>
          <w:noProof/>
          <w:sz w:val="24"/>
          <w:szCs w:val="24"/>
          <w:lang w:val="en-GB"/>
        </w:rPr>
        <w:lastRenderedPageBreak/>
        <w:t xml:space="preserve">This first crude analysis of shapes led us to a more detailed description of the solution space of our metric represented </w:t>
      </w:r>
      <w:r w:rsidR="00756AB2" w:rsidRPr="00A17D9B">
        <w:rPr>
          <w:rFonts w:ascii="Garamond" w:hAnsi="Garamond"/>
          <w:noProof/>
          <w:sz w:val="24"/>
          <w:szCs w:val="24"/>
          <w:lang w:val="en-GB"/>
        </w:rPr>
        <w:t xml:space="preserve">in appendix one </w:t>
      </w:r>
      <w:r w:rsidR="00012888" w:rsidRPr="00A17D9B">
        <w:rPr>
          <w:rFonts w:ascii="Garamond" w:hAnsi="Garamond"/>
          <w:noProof/>
          <w:sz w:val="24"/>
          <w:szCs w:val="24"/>
          <w:lang w:val="en-GB"/>
        </w:rPr>
        <w:t xml:space="preserve">from the perspective of </w:t>
      </w:r>
      <w:r w:rsidRPr="00A17D9B">
        <w:rPr>
          <w:rFonts w:ascii="Garamond" w:hAnsi="Garamond"/>
          <w:noProof/>
          <w:sz w:val="24"/>
          <w:szCs w:val="24"/>
          <w:lang w:val="en-GB"/>
        </w:rPr>
        <w:t xml:space="preserve">tipping point theories </w:t>
      </w:r>
      <w:r w:rsidR="00012888" w:rsidRPr="00A17D9B">
        <w:rPr>
          <w:rFonts w:ascii="Garamond" w:hAnsi="Garamond"/>
          <w:noProof/>
          <w:sz w:val="24"/>
          <w:szCs w:val="24"/>
          <w:lang w:val="en-GB"/>
        </w:rPr>
        <w:t xml:space="preserve">as </w:t>
      </w:r>
      <w:r w:rsidRPr="00A17D9B">
        <w:rPr>
          <w:rFonts w:ascii="Garamond" w:hAnsi="Garamond"/>
          <w:noProof/>
          <w:sz w:val="24"/>
          <w:szCs w:val="24"/>
          <w:lang w:val="en-GB"/>
        </w:rPr>
        <w:t>highlighted by the works of Centola</w:t>
      </w:r>
      <w:r w:rsidR="004168FE" w:rsidRPr="00A17D9B">
        <w:rPr>
          <w:rStyle w:val="Refdenotaalpie"/>
          <w:rFonts w:ascii="Garamond" w:hAnsi="Garamond"/>
          <w:noProof/>
          <w:sz w:val="24"/>
          <w:szCs w:val="24"/>
          <w:lang w:val="en-GB"/>
        </w:rPr>
        <w:footnoteReference w:id="16"/>
      </w:r>
      <w:r w:rsidRPr="00A17D9B">
        <w:rPr>
          <w:rFonts w:ascii="Garamond" w:hAnsi="Garamond"/>
          <w:noProof/>
          <w:sz w:val="24"/>
          <w:szCs w:val="24"/>
          <w:lang w:val="en-GB"/>
        </w:rPr>
        <w:t>.</w:t>
      </w:r>
      <w:r w:rsidR="00165F6C" w:rsidRPr="00A17D9B">
        <w:rPr>
          <w:rFonts w:ascii="Garamond" w:hAnsi="Garamond"/>
          <w:noProof/>
          <w:sz w:val="24"/>
          <w:szCs w:val="24"/>
          <w:lang w:val="en-GB"/>
        </w:rPr>
        <w:t xml:space="preserve"> While the </w:t>
      </w:r>
      <w:r w:rsidR="00012888" w:rsidRPr="00A17D9B">
        <w:rPr>
          <w:rFonts w:ascii="Garamond" w:hAnsi="Garamond"/>
          <w:noProof/>
          <w:sz w:val="24"/>
          <w:szCs w:val="24"/>
          <w:lang w:val="en-GB"/>
        </w:rPr>
        <w:t>statistical</w:t>
      </w:r>
      <w:r w:rsidR="00165F6C" w:rsidRPr="00A17D9B">
        <w:rPr>
          <w:rFonts w:ascii="Garamond" w:hAnsi="Garamond"/>
          <w:noProof/>
          <w:sz w:val="24"/>
          <w:szCs w:val="24"/>
          <w:lang w:val="en-GB"/>
        </w:rPr>
        <w:t xml:space="preserve"> aspect of this solution space is discussed elsewhere in this issue</w:t>
      </w:r>
      <w:r w:rsidR="00A80A77" w:rsidRPr="00A17D9B">
        <w:rPr>
          <w:rFonts w:ascii="Garamond" w:hAnsi="Garamond"/>
          <w:noProof/>
          <w:sz w:val="24"/>
          <w:szCs w:val="24"/>
          <w:lang w:val="en-GB"/>
        </w:rPr>
        <w:t>,</w:t>
      </w:r>
      <w:r w:rsidR="00165F6C" w:rsidRPr="00A17D9B">
        <w:rPr>
          <w:rFonts w:ascii="Garamond" w:hAnsi="Garamond"/>
          <w:noProof/>
          <w:sz w:val="24"/>
          <w:szCs w:val="24"/>
          <w:lang w:val="en-GB"/>
        </w:rPr>
        <w:t xml:space="preserve"> (Cf. Avila-Valdez &amp; Castro-Manzano) we need to make at least a couple of remarks.</w:t>
      </w:r>
    </w:p>
    <w:p w14:paraId="730A6C2E" w14:textId="033EA037" w:rsidR="00593701" w:rsidRPr="00A17D9B" w:rsidRDefault="00FD55B6" w:rsidP="00C1379F">
      <w:pPr>
        <w:spacing w:before="120" w:after="0" w:line="320" w:lineRule="atLeast"/>
        <w:jc w:val="both"/>
        <w:rPr>
          <w:rFonts w:ascii="Garamond" w:hAnsi="Garamond"/>
          <w:noProof/>
          <w:sz w:val="24"/>
          <w:szCs w:val="24"/>
          <w:lang w:val="en-GB"/>
        </w:rPr>
      </w:pPr>
      <w:r w:rsidRPr="00A17D9B">
        <w:rPr>
          <w:rFonts w:ascii="Garamond" w:hAnsi="Garamond"/>
          <w:noProof/>
          <w:sz w:val="24"/>
          <w:szCs w:val="24"/>
          <w:lang w:val="en-GB"/>
        </w:rPr>
        <w:t>First, the solution tree a</w:t>
      </w:r>
      <w:r w:rsidR="001474B6" w:rsidRPr="00A17D9B">
        <w:rPr>
          <w:rFonts w:ascii="Garamond" w:hAnsi="Garamond"/>
          <w:noProof/>
          <w:sz w:val="24"/>
          <w:szCs w:val="24"/>
          <w:lang w:val="en-GB"/>
        </w:rPr>
        <w:t>llows us to transform our first-</w:t>
      </w:r>
      <w:r w:rsidRPr="00A17D9B">
        <w:rPr>
          <w:rFonts w:ascii="Garamond" w:hAnsi="Garamond"/>
          <w:noProof/>
          <w:sz w:val="24"/>
          <w:szCs w:val="24"/>
          <w:lang w:val="en-GB"/>
        </w:rPr>
        <w:t xml:space="preserve">hand results into a description of the </w:t>
      </w:r>
      <w:r w:rsidRPr="00A17D9B">
        <w:rPr>
          <w:rFonts w:ascii="Garamond" w:hAnsi="Garamond"/>
          <w:i/>
          <w:iCs/>
          <w:noProof/>
          <w:sz w:val="24"/>
          <w:szCs w:val="24"/>
          <w:lang w:val="en-GB"/>
        </w:rPr>
        <w:t>social</w:t>
      </w:r>
      <w:r w:rsidRPr="00A17D9B">
        <w:rPr>
          <w:rFonts w:ascii="Garamond" w:hAnsi="Garamond"/>
          <w:noProof/>
          <w:sz w:val="24"/>
          <w:szCs w:val="24"/>
          <w:lang w:val="en-GB"/>
        </w:rPr>
        <w:t xml:space="preserve"> </w:t>
      </w:r>
      <w:r w:rsidRPr="00A17D9B">
        <w:rPr>
          <w:rFonts w:ascii="Garamond" w:hAnsi="Garamond"/>
          <w:i/>
          <w:iCs/>
          <w:noProof/>
          <w:sz w:val="24"/>
          <w:szCs w:val="24"/>
          <w:lang w:val="en-GB"/>
        </w:rPr>
        <w:t xml:space="preserve">dynamics </w:t>
      </w:r>
      <w:r w:rsidRPr="00A17D9B">
        <w:rPr>
          <w:rFonts w:ascii="Garamond" w:hAnsi="Garamond"/>
          <w:noProof/>
          <w:sz w:val="24"/>
          <w:szCs w:val="24"/>
          <w:lang w:val="en-GB"/>
        </w:rPr>
        <w:t>of the norm they try to capture</w:t>
      </w:r>
      <w:r w:rsidR="003E19E5" w:rsidRPr="00A17D9B">
        <w:rPr>
          <w:rFonts w:ascii="Garamond" w:hAnsi="Garamond"/>
          <w:noProof/>
          <w:sz w:val="24"/>
          <w:szCs w:val="24"/>
          <w:lang w:val="en-GB"/>
        </w:rPr>
        <w:t>, along</w:t>
      </w:r>
      <w:r w:rsidR="001474B6" w:rsidRPr="00A17D9B">
        <w:rPr>
          <w:rFonts w:ascii="Garamond" w:hAnsi="Garamond"/>
          <w:noProof/>
          <w:sz w:val="24"/>
          <w:szCs w:val="24"/>
          <w:lang w:val="en-GB"/>
        </w:rPr>
        <w:t xml:space="preserve"> the lines of</w:t>
      </w:r>
      <w:r w:rsidR="003E19E5" w:rsidRPr="00A17D9B">
        <w:rPr>
          <w:rFonts w:ascii="Garamond" w:hAnsi="Garamond"/>
          <w:noProof/>
          <w:sz w:val="24"/>
          <w:szCs w:val="24"/>
          <w:lang w:val="en-GB"/>
        </w:rPr>
        <w:t xml:space="preserve"> Centola’s tipping point theory</w:t>
      </w:r>
      <w:r w:rsidRPr="00A17D9B">
        <w:rPr>
          <w:rFonts w:ascii="Garamond" w:hAnsi="Garamond"/>
          <w:noProof/>
          <w:sz w:val="24"/>
          <w:szCs w:val="24"/>
          <w:lang w:val="en-GB"/>
        </w:rPr>
        <w:t>. Second,</w:t>
      </w:r>
      <w:r w:rsidR="00724778" w:rsidRPr="00A17D9B">
        <w:rPr>
          <w:rFonts w:ascii="Garamond" w:hAnsi="Garamond"/>
          <w:noProof/>
          <w:sz w:val="24"/>
          <w:szCs w:val="24"/>
          <w:lang w:val="en-GB"/>
        </w:rPr>
        <w:t xml:space="preserve"> note that the complex description tree leads to </w:t>
      </w:r>
      <w:r w:rsidRPr="00A17D9B">
        <w:rPr>
          <w:rFonts w:ascii="Garamond" w:hAnsi="Garamond"/>
          <w:noProof/>
          <w:sz w:val="24"/>
          <w:szCs w:val="24"/>
          <w:lang w:val="en-GB"/>
        </w:rPr>
        <w:t xml:space="preserve">subsets and consequently </w:t>
      </w:r>
      <w:r w:rsidR="003E19E5" w:rsidRPr="00A17D9B">
        <w:rPr>
          <w:rFonts w:ascii="Garamond" w:hAnsi="Garamond"/>
          <w:noProof/>
          <w:sz w:val="24"/>
          <w:szCs w:val="24"/>
          <w:lang w:val="en-GB"/>
        </w:rPr>
        <w:t xml:space="preserve">30 </w:t>
      </w:r>
      <w:r w:rsidR="00724778" w:rsidRPr="00A17D9B">
        <w:rPr>
          <w:rFonts w:ascii="Garamond" w:hAnsi="Garamond"/>
          <w:noProof/>
          <w:sz w:val="24"/>
          <w:szCs w:val="24"/>
          <w:lang w:val="en-GB"/>
        </w:rPr>
        <w:t>submarks</w:t>
      </w:r>
      <w:r w:rsidR="003E19E5" w:rsidRPr="00A17D9B">
        <w:rPr>
          <w:rFonts w:ascii="Garamond" w:hAnsi="Garamond"/>
          <w:noProof/>
          <w:sz w:val="24"/>
          <w:szCs w:val="24"/>
          <w:lang w:val="en-GB"/>
        </w:rPr>
        <w:t>,</w:t>
      </w:r>
      <w:r w:rsidR="00724778" w:rsidRPr="00A17D9B">
        <w:rPr>
          <w:rFonts w:ascii="Garamond" w:hAnsi="Garamond"/>
          <w:noProof/>
          <w:sz w:val="24"/>
          <w:szCs w:val="24"/>
          <w:lang w:val="en-GB"/>
        </w:rPr>
        <w:t xml:space="preserve"> </w:t>
      </w:r>
      <w:r w:rsidRPr="00A17D9B">
        <w:rPr>
          <w:rFonts w:ascii="Garamond" w:hAnsi="Garamond"/>
          <w:noProof/>
          <w:sz w:val="24"/>
          <w:szCs w:val="24"/>
          <w:lang w:val="en-GB"/>
        </w:rPr>
        <w:t>where 1.1</w:t>
      </w:r>
      <w:r w:rsidR="003E19E5" w:rsidRPr="00A17D9B">
        <w:rPr>
          <w:rFonts w:ascii="Garamond" w:hAnsi="Garamond"/>
          <w:noProof/>
          <w:sz w:val="24"/>
          <w:szCs w:val="24"/>
          <w:lang w:val="en-GB"/>
        </w:rPr>
        <w:t xml:space="preserve">, </w:t>
      </w:r>
      <w:r w:rsidRPr="00A17D9B">
        <w:rPr>
          <w:rFonts w:ascii="Garamond" w:hAnsi="Garamond"/>
          <w:noProof/>
          <w:sz w:val="24"/>
          <w:szCs w:val="24"/>
          <w:lang w:val="en-GB"/>
        </w:rPr>
        <w:t>2.1, 3.1</w:t>
      </w:r>
      <w:r w:rsidR="003E19E5" w:rsidRPr="00A17D9B">
        <w:rPr>
          <w:rFonts w:ascii="Garamond" w:hAnsi="Garamond"/>
          <w:noProof/>
          <w:sz w:val="24"/>
          <w:szCs w:val="24"/>
          <w:lang w:val="en-GB"/>
        </w:rPr>
        <w:t xml:space="preserve">, </w:t>
      </w:r>
      <w:r w:rsidRPr="00A17D9B">
        <w:rPr>
          <w:rFonts w:ascii="Garamond" w:hAnsi="Garamond"/>
          <w:noProof/>
          <w:sz w:val="24"/>
          <w:szCs w:val="24"/>
          <w:lang w:val="en-GB"/>
        </w:rPr>
        <w:t>etc</w:t>
      </w:r>
      <w:r w:rsidR="003E19E5" w:rsidRPr="00A17D9B">
        <w:rPr>
          <w:rFonts w:ascii="Garamond" w:hAnsi="Garamond"/>
          <w:noProof/>
          <w:sz w:val="24"/>
          <w:szCs w:val="24"/>
          <w:lang w:val="en-GB"/>
        </w:rPr>
        <w:t>.</w:t>
      </w:r>
      <w:r w:rsidRPr="00A17D9B">
        <w:rPr>
          <w:rFonts w:ascii="Garamond" w:hAnsi="Garamond"/>
          <w:noProof/>
          <w:sz w:val="24"/>
          <w:szCs w:val="24"/>
          <w:lang w:val="en-GB"/>
        </w:rPr>
        <w:t xml:space="preserve"> may be seen as the centre of the subsets</w:t>
      </w:r>
      <w:r w:rsidR="001474B6" w:rsidRPr="00A17D9B">
        <w:rPr>
          <w:rFonts w:ascii="Garamond" w:hAnsi="Garamond"/>
          <w:noProof/>
          <w:sz w:val="24"/>
          <w:szCs w:val="24"/>
          <w:lang w:val="en-GB"/>
        </w:rPr>
        <w:t>’</w:t>
      </w:r>
      <w:r w:rsidRPr="00A17D9B">
        <w:rPr>
          <w:rFonts w:ascii="Garamond" w:hAnsi="Garamond"/>
          <w:noProof/>
          <w:sz w:val="24"/>
          <w:szCs w:val="24"/>
          <w:lang w:val="en-GB"/>
        </w:rPr>
        <w:t xml:space="preserve"> results. However such presision also leads to an overwhelming complexity of descriptive</w:t>
      </w:r>
      <w:r w:rsidR="003E19E5" w:rsidRPr="00A17D9B">
        <w:rPr>
          <w:rFonts w:ascii="Garamond" w:hAnsi="Garamond"/>
          <w:noProof/>
          <w:sz w:val="24"/>
          <w:szCs w:val="24"/>
          <w:lang w:val="en-GB"/>
        </w:rPr>
        <w:t>s</w:t>
      </w:r>
      <w:r w:rsidR="001474B6" w:rsidRPr="00A17D9B">
        <w:rPr>
          <w:rFonts w:ascii="Garamond" w:hAnsi="Garamond"/>
          <w:noProof/>
          <w:sz w:val="24"/>
          <w:szCs w:val="24"/>
          <w:lang w:val="en-GB"/>
        </w:rPr>
        <w:t xml:space="preserve"> and hence limits our</w:t>
      </w:r>
      <w:r w:rsidRPr="00A17D9B">
        <w:rPr>
          <w:rFonts w:ascii="Garamond" w:hAnsi="Garamond"/>
          <w:noProof/>
          <w:sz w:val="24"/>
          <w:szCs w:val="24"/>
          <w:lang w:val="en-GB"/>
        </w:rPr>
        <w:t xml:space="preserve"> ability to understand and communicate our results. We therefore settled, for the sake of conceptual clarity and lisibility, for a 1 to 10 scale only</w:t>
      </w:r>
      <w:r w:rsidR="00387185" w:rsidRPr="00A17D9B">
        <w:rPr>
          <w:rFonts w:ascii="Garamond" w:hAnsi="Garamond"/>
          <w:noProof/>
          <w:sz w:val="24"/>
          <w:szCs w:val="24"/>
          <w:lang w:val="en-GB"/>
        </w:rPr>
        <w:t xml:space="preserve">. </w:t>
      </w:r>
      <w:r w:rsidR="001D7008" w:rsidRPr="00A17D9B">
        <w:rPr>
          <w:rFonts w:ascii="Garamond" w:hAnsi="Garamond"/>
          <w:noProof/>
          <w:sz w:val="24"/>
          <w:szCs w:val="24"/>
          <w:lang w:val="en-GB"/>
        </w:rPr>
        <w:t>We then associate</w:t>
      </w:r>
      <w:r w:rsidR="00593701" w:rsidRPr="00A17D9B">
        <w:rPr>
          <w:rFonts w:ascii="Garamond" w:hAnsi="Garamond"/>
          <w:noProof/>
          <w:sz w:val="24"/>
          <w:szCs w:val="24"/>
          <w:lang w:val="en-GB"/>
        </w:rPr>
        <w:t>d</w:t>
      </w:r>
      <w:r w:rsidR="001474B6" w:rsidRPr="00A17D9B">
        <w:rPr>
          <w:rFonts w:ascii="Garamond" w:hAnsi="Garamond"/>
          <w:noProof/>
          <w:sz w:val="24"/>
          <w:szCs w:val="24"/>
          <w:lang w:val="en-GB"/>
        </w:rPr>
        <w:t xml:space="preserve"> </w:t>
      </w:r>
      <w:r w:rsidR="001D7008" w:rsidRPr="00A17D9B">
        <w:rPr>
          <w:rFonts w:ascii="Garamond" w:hAnsi="Garamond"/>
          <w:noProof/>
          <w:sz w:val="24"/>
          <w:szCs w:val="24"/>
          <w:lang w:val="en-GB"/>
        </w:rPr>
        <w:t>this scale</w:t>
      </w:r>
      <w:r w:rsidR="001474B6" w:rsidRPr="00A17D9B">
        <w:rPr>
          <w:rFonts w:ascii="Garamond" w:hAnsi="Garamond"/>
          <w:noProof/>
          <w:sz w:val="24"/>
          <w:szCs w:val="24"/>
          <w:lang w:val="en-GB"/>
        </w:rPr>
        <w:t xml:space="preserve"> to</w:t>
      </w:r>
      <w:r w:rsidR="001D7008" w:rsidRPr="00A17D9B">
        <w:rPr>
          <w:rFonts w:ascii="Garamond" w:hAnsi="Garamond"/>
          <w:noProof/>
          <w:sz w:val="24"/>
          <w:szCs w:val="24"/>
          <w:lang w:val="en-GB"/>
        </w:rPr>
        <w:t xml:space="preserve"> </w:t>
      </w:r>
      <w:r w:rsidR="003E19E5" w:rsidRPr="00A17D9B">
        <w:rPr>
          <w:rFonts w:ascii="Garamond" w:hAnsi="Garamond"/>
          <w:noProof/>
          <w:sz w:val="24"/>
          <w:szCs w:val="24"/>
          <w:lang w:val="en-GB"/>
        </w:rPr>
        <w:t>descriptives in terms of the social dynamics they try to capture. The scale projects on an axis</w:t>
      </w:r>
      <w:r w:rsidR="001474B6" w:rsidRPr="00A17D9B">
        <w:rPr>
          <w:rFonts w:ascii="Garamond" w:hAnsi="Garamond"/>
          <w:noProof/>
          <w:sz w:val="24"/>
          <w:szCs w:val="24"/>
          <w:lang w:val="en-GB"/>
        </w:rPr>
        <w:t>,</w:t>
      </w:r>
      <w:r w:rsidR="003E19E5" w:rsidRPr="00A17D9B">
        <w:rPr>
          <w:rFonts w:ascii="Garamond" w:hAnsi="Garamond"/>
          <w:noProof/>
          <w:sz w:val="24"/>
          <w:szCs w:val="24"/>
          <w:lang w:val="en-GB"/>
        </w:rPr>
        <w:t xml:space="preserve"> the positive</w:t>
      </w:r>
      <w:r w:rsidR="009B4475" w:rsidRPr="00A17D9B">
        <w:rPr>
          <w:rStyle w:val="Refdenotaalpie"/>
          <w:rFonts w:ascii="Garamond" w:hAnsi="Garamond"/>
          <w:noProof/>
          <w:sz w:val="24"/>
          <w:szCs w:val="24"/>
          <w:lang w:val="en-GB"/>
        </w:rPr>
        <w:footnoteReference w:id="17"/>
      </w:r>
      <w:r w:rsidR="003E19E5" w:rsidRPr="00A17D9B">
        <w:rPr>
          <w:rFonts w:ascii="Garamond" w:hAnsi="Garamond"/>
          <w:noProof/>
          <w:sz w:val="24"/>
          <w:szCs w:val="24"/>
          <w:lang w:val="en-GB"/>
        </w:rPr>
        <w:t xml:space="preserve"> or negative</w:t>
      </w:r>
      <w:r w:rsidR="00593701" w:rsidRPr="00A17D9B">
        <w:rPr>
          <w:rStyle w:val="Refdenotaalpie"/>
          <w:rFonts w:ascii="Garamond" w:hAnsi="Garamond"/>
          <w:noProof/>
          <w:sz w:val="24"/>
          <w:szCs w:val="24"/>
          <w:lang w:val="en-GB"/>
        </w:rPr>
        <w:footnoteReference w:id="18"/>
      </w:r>
      <w:r w:rsidR="003E19E5" w:rsidRPr="00A17D9B">
        <w:rPr>
          <w:rFonts w:ascii="Garamond" w:hAnsi="Garamond"/>
          <w:noProof/>
          <w:sz w:val="24"/>
          <w:szCs w:val="24"/>
          <w:lang w:val="en-GB"/>
        </w:rPr>
        <w:t xml:space="preserve"> existence of a social dynamic in the locality</w:t>
      </w:r>
      <w:r w:rsidR="001474B6" w:rsidRPr="00A17D9B">
        <w:rPr>
          <w:rFonts w:ascii="Garamond" w:hAnsi="Garamond"/>
          <w:noProof/>
          <w:sz w:val="24"/>
          <w:szCs w:val="24"/>
          <w:lang w:val="en-GB"/>
        </w:rPr>
        <w:t>, each extre</w:t>
      </w:r>
      <w:r w:rsidR="00593701" w:rsidRPr="00A17D9B">
        <w:rPr>
          <w:rFonts w:ascii="Garamond" w:hAnsi="Garamond"/>
          <w:noProof/>
          <w:sz w:val="24"/>
          <w:szCs w:val="24"/>
          <w:lang w:val="en-GB"/>
        </w:rPr>
        <w:t>m</w:t>
      </w:r>
      <w:r w:rsidR="001474B6" w:rsidRPr="00A17D9B">
        <w:rPr>
          <w:rFonts w:ascii="Garamond" w:hAnsi="Garamond"/>
          <w:noProof/>
          <w:sz w:val="24"/>
          <w:szCs w:val="24"/>
          <w:lang w:val="en-GB"/>
        </w:rPr>
        <w:t>e</w:t>
      </w:r>
      <w:r w:rsidR="00593701" w:rsidRPr="00A17D9B">
        <w:rPr>
          <w:rFonts w:ascii="Garamond" w:hAnsi="Garamond"/>
          <w:noProof/>
          <w:sz w:val="24"/>
          <w:szCs w:val="24"/>
          <w:lang w:val="en-GB"/>
        </w:rPr>
        <w:t xml:space="preserve"> side describing a </w:t>
      </w:r>
      <w:r w:rsidR="00593701" w:rsidRPr="00A17D9B">
        <w:rPr>
          <w:rFonts w:ascii="Garamond" w:hAnsi="Garamond"/>
          <w:i/>
          <w:iCs/>
          <w:noProof/>
          <w:sz w:val="24"/>
          <w:szCs w:val="24"/>
          <w:lang w:val="en-GB"/>
        </w:rPr>
        <w:t>dominant</w:t>
      </w:r>
      <w:r w:rsidR="00593701" w:rsidRPr="00A17D9B">
        <w:rPr>
          <w:rFonts w:ascii="Garamond" w:hAnsi="Garamond"/>
          <w:noProof/>
          <w:sz w:val="24"/>
          <w:szCs w:val="24"/>
          <w:lang w:val="en-GB"/>
        </w:rPr>
        <w:t xml:space="preserve"> or </w:t>
      </w:r>
      <w:r w:rsidR="00593701" w:rsidRPr="00A17D9B">
        <w:rPr>
          <w:rFonts w:ascii="Garamond" w:hAnsi="Garamond"/>
          <w:i/>
          <w:iCs/>
          <w:noProof/>
          <w:sz w:val="24"/>
          <w:szCs w:val="24"/>
          <w:lang w:val="en-GB"/>
        </w:rPr>
        <w:t>stable</w:t>
      </w:r>
      <w:r w:rsidR="00593701" w:rsidRPr="00A17D9B">
        <w:rPr>
          <w:rFonts w:ascii="Garamond" w:hAnsi="Garamond"/>
          <w:noProof/>
          <w:sz w:val="24"/>
          <w:szCs w:val="24"/>
          <w:lang w:val="en-GB"/>
        </w:rPr>
        <w:t xml:space="preserve"> social dynamics, either positive (10-9) or negative (1-2). </w:t>
      </w:r>
      <w:r w:rsidR="00F36283" w:rsidRPr="00A17D9B">
        <w:rPr>
          <w:rFonts w:ascii="Garamond" w:hAnsi="Garamond"/>
          <w:noProof/>
          <w:sz w:val="24"/>
          <w:szCs w:val="24"/>
          <w:lang w:val="en-GB"/>
        </w:rPr>
        <w:t xml:space="preserve">Then comes a zone of </w:t>
      </w:r>
      <w:r w:rsidR="00F36283" w:rsidRPr="00A17D9B">
        <w:rPr>
          <w:rFonts w:ascii="Garamond" w:hAnsi="Garamond"/>
          <w:i/>
          <w:iCs/>
          <w:noProof/>
          <w:sz w:val="24"/>
          <w:szCs w:val="24"/>
          <w:lang w:val="en-GB"/>
        </w:rPr>
        <w:t xml:space="preserve">vulnerability </w:t>
      </w:r>
      <w:r w:rsidR="00F36283" w:rsidRPr="00A17D9B">
        <w:rPr>
          <w:rFonts w:ascii="Garamond" w:hAnsi="Garamond"/>
          <w:noProof/>
          <w:sz w:val="24"/>
          <w:szCs w:val="24"/>
          <w:lang w:val="en-GB"/>
        </w:rPr>
        <w:t>(7 and 3)</w:t>
      </w:r>
      <w:r w:rsidR="00F36283" w:rsidRPr="00A17D9B">
        <w:rPr>
          <w:rFonts w:ascii="Garamond" w:hAnsi="Garamond"/>
          <w:i/>
          <w:iCs/>
          <w:noProof/>
          <w:sz w:val="24"/>
          <w:szCs w:val="24"/>
          <w:lang w:val="en-GB"/>
        </w:rPr>
        <w:t xml:space="preserve">, </w:t>
      </w:r>
      <w:r w:rsidR="001474B6" w:rsidRPr="00A17D9B">
        <w:rPr>
          <w:rFonts w:ascii="Garamond" w:hAnsi="Garamond"/>
          <w:noProof/>
          <w:sz w:val="24"/>
          <w:szCs w:val="24"/>
          <w:lang w:val="en-GB"/>
        </w:rPr>
        <w:t xml:space="preserve">where the social dynamic, </w:t>
      </w:r>
      <w:r w:rsidR="00F36283" w:rsidRPr="00A17D9B">
        <w:rPr>
          <w:rFonts w:ascii="Garamond" w:hAnsi="Garamond"/>
          <w:noProof/>
          <w:sz w:val="24"/>
          <w:szCs w:val="24"/>
          <w:lang w:val="en-GB"/>
        </w:rPr>
        <w:t>while still existing,</w:t>
      </w:r>
      <w:r w:rsidR="00F36283" w:rsidRPr="00A17D9B">
        <w:rPr>
          <w:rFonts w:ascii="Garamond" w:hAnsi="Garamond"/>
          <w:i/>
          <w:iCs/>
          <w:noProof/>
          <w:sz w:val="24"/>
          <w:szCs w:val="24"/>
          <w:lang w:val="en-GB"/>
        </w:rPr>
        <w:t xml:space="preserve"> </w:t>
      </w:r>
      <w:r w:rsidR="00F36283" w:rsidRPr="00A17D9B">
        <w:rPr>
          <w:rFonts w:ascii="Garamond" w:hAnsi="Garamond"/>
          <w:noProof/>
          <w:sz w:val="24"/>
          <w:szCs w:val="24"/>
          <w:lang w:val="en-GB"/>
        </w:rPr>
        <w:t>is contested and/or not supported in such a way that it may eventually tip if support further shrinks or contest grows.</w:t>
      </w:r>
      <w:r w:rsidR="00F9535E" w:rsidRPr="00A17D9B">
        <w:rPr>
          <w:rFonts w:ascii="Garamond" w:hAnsi="Garamond"/>
          <w:noProof/>
          <w:sz w:val="24"/>
          <w:szCs w:val="24"/>
          <w:lang w:val="en-GB"/>
        </w:rPr>
        <w:t xml:space="preserve"> Finally</w:t>
      </w:r>
      <w:r w:rsidR="001474B6" w:rsidRPr="00A17D9B">
        <w:rPr>
          <w:rFonts w:ascii="Garamond" w:hAnsi="Garamond"/>
          <w:noProof/>
          <w:sz w:val="24"/>
          <w:szCs w:val="24"/>
          <w:lang w:val="en-GB"/>
        </w:rPr>
        <w:t>,</w:t>
      </w:r>
      <w:r w:rsidR="00F9535E" w:rsidRPr="00A17D9B">
        <w:rPr>
          <w:rFonts w:ascii="Garamond" w:hAnsi="Garamond"/>
          <w:noProof/>
          <w:sz w:val="24"/>
          <w:szCs w:val="24"/>
          <w:lang w:val="en-GB"/>
        </w:rPr>
        <w:t xml:space="preserve"> the zone enclosing the center of the scale (6-4) is one of </w:t>
      </w:r>
      <w:r w:rsidR="00F9535E" w:rsidRPr="00A17D9B">
        <w:rPr>
          <w:rFonts w:ascii="Garamond" w:hAnsi="Garamond"/>
          <w:i/>
          <w:iCs/>
          <w:noProof/>
          <w:sz w:val="24"/>
          <w:szCs w:val="24"/>
          <w:lang w:val="en-GB"/>
        </w:rPr>
        <w:t>instability</w:t>
      </w:r>
      <w:r w:rsidR="00F34273" w:rsidRPr="00A17D9B">
        <w:rPr>
          <w:rFonts w:ascii="Garamond" w:hAnsi="Garamond"/>
          <w:noProof/>
          <w:sz w:val="24"/>
          <w:szCs w:val="24"/>
          <w:lang w:val="en-GB"/>
        </w:rPr>
        <w:t xml:space="preserve"> </w:t>
      </w:r>
      <w:r w:rsidR="00165F6C" w:rsidRPr="00A17D9B">
        <w:rPr>
          <w:rFonts w:ascii="Garamond" w:hAnsi="Garamond"/>
          <w:noProof/>
          <w:sz w:val="24"/>
          <w:szCs w:val="24"/>
          <w:lang w:val="en-GB"/>
        </w:rPr>
        <w:t xml:space="preserve">statistically </w:t>
      </w:r>
      <w:r w:rsidR="00F34273" w:rsidRPr="00A17D9B">
        <w:rPr>
          <w:rFonts w:ascii="Garamond" w:hAnsi="Garamond"/>
          <w:noProof/>
          <w:sz w:val="24"/>
          <w:szCs w:val="24"/>
          <w:lang w:val="en-GB"/>
        </w:rPr>
        <w:t xml:space="preserve">prone to </w:t>
      </w:r>
      <w:r w:rsidR="00165F6C" w:rsidRPr="00A17D9B">
        <w:rPr>
          <w:rFonts w:ascii="Garamond" w:hAnsi="Garamond"/>
          <w:noProof/>
          <w:sz w:val="24"/>
          <w:szCs w:val="24"/>
          <w:lang w:val="en-GB"/>
        </w:rPr>
        <w:t xml:space="preserve">sudden </w:t>
      </w:r>
      <w:r w:rsidR="00F34273" w:rsidRPr="00A17D9B">
        <w:rPr>
          <w:rFonts w:ascii="Garamond" w:hAnsi="Garamond"/>
          <w:noProof/>
          <w:sz w:val="24"/>
          <w:szCs w:val="24"/>
          <w:lang w:val="en-GB"/>
        </w:rPr>
        <w:t>change</w:t>
      </w:r>
      <w:r w:rsidR="00165F6C" w:rsidRPr="00A17D9B">
        <w:rPr>
          <w:rFonts w:ascii="Garamond" w:hAnsi="Garamond"/>
          <w:noProof/>
          <w:sz w:val="24"/>
          <w:szCs w:val="24"/>
          <w:lang w:val="en-GB"/>
        </w:rPr>
        <w:t xml:space="preserve"> – tipping – either toward a more positive or negative social dynamic, but character</w:t>
      </w:r>
      <w:r w:rsidR="001474B6" w:rsidRPr="00A17D9B">
        <w:rPr>
          <w:rFonts w:ascii="Garamond" w:hAnsi="Garamond"/>
          <w:noProof/>
          <w:sz w:val="24"/>
          <w:szCs w:val="24"/>
          <w:lang w:val="en-GB"/>
        </w:rPr>
        <w:t>ized by a anomia in its center. T</w:t>
      </w:r>
      <w:r w:rsidR="00165F6C" w:rsidRPr="00A17D9B">
        <w:rPr>
          <w:rFonts w:ascii="Garamond" w:hAnsi="Garamond"/>
          <w:noProof/>
          <w:sz w:val="24"/>
          <w:szCs w:val="24"/>
          <w:lang w:val="en-GB"/>
        </w:rPr>
        <w:t xml:space="preserve">hat is a social situation with fragmented and divergent social norms and a huge ‘undecided’ population that may swing either way. </w:t>
      </w:r>
    </w:p>
    <w:p w14:paraId="55B2AE96" w14:textId="3BD0F72C" w:rsidR="00BF31B3" w:rsidRPr="00A17D9B" w:rsidRDefault="006B3DFB" w:rsidP="00C1379F">
      <w:pPr>
        <w:spacing w:before="120" w:after="0" w:line="320" w:lineRule="atLeast"/>
        <w:jc w:val="both"/>
        <w:rPr>
          <w:rFonts w:ascii="Garamond" w:hAnsi="Garamond"/>
          <w:noProof/>
          <w:sz w:val="24"/>
          <w:szCs w:val="24"/>
          <w:lang w:val="en-GB"/>
        </w:rPr>
      </w:pPr>
      <w:r w:rsidRPr="00A17D9B">
        <w:rPr>
          <w:rFonts w:ascii="Garamond" w:hAnsi="Garamond"/>
          <w:noProof/>
          <w:sz w:val="24"/>
          <w:szCs w:val="24"/>
          <w:lang w:val="en-GB"/>
        </w:rPr>
        <w:t>A second remark</w:t>
      </w:r>
      <w:r w:rsidR="00387185" w:rsidRPr="00A17D9B">
        <w:rPr>
          <w:rFonts w:ascii="Garamond" w:hAnsi="Garamond"/>
          <w:noProof/>
          <w:sz w:val="24"/>
          <w:szCs w:val="24"/>
          <w:lang w:val="en-GB"/>
        </w:rPr>
        <w:t xml:space="preserve"> </w:t>
      </w:r>
      <w:r w:rsidRPr="00A17D9B">
        <w:rPr>
          <w:rFonts w:ascii="Garamond" w:hAnsi="Garamond"/>
          <w:noProof/>
          <w:sz w:val="24"/>
          <w:szCs w:val="24"/>
          <w:lang w:val="en-GB"/>
        </w:rPr>
        <w:t>regard</w:t>
      </w:r>
      <w:r w:rsidR="00165F6C" w:rsidRPr="00A17D9B">
        <w:rPr>
          <w:rFonts w:ascii="Garamond" w:hAnsi="Garamond"/>
          <w:noProof/>
          <w:sz w:val="24"/>
          <w:szCs w:val="24"/>
          <w:lang w:val="en-GB"/>
        </w:rPr>
        <w:t>s</w:t>
      </w:r>
      <w:r w:rsidRPr="00A17D9B">
        <w:rPr>
          <w:rFonts w:ascii="Garamond" w:hAnsi="Garamond"/>
          <w:noProof/>
          <w:sz w:val="24"/>
          <w:szCs w:val="24"/>
          <w:lang w:val="en-GB"/>
        </w:rPr>
        <w:t xml:space="preserve"> the descr</w:t>
      </w:r>
      <w:r w:rsidR="00414382" w:rsidRPr="00A17D9B">
        <w:rPr>
          <w:rFonts w:ascii="Garamond" w:hAnsi="Garamond"/>
          <w:noProof/>
          <w:sz w:val="24"/>
          <w:szCs w:val="24"/>
          <w:lang w:val="en-GB"/>
        </w:rPr>
        <w:t>iptive of each situation. Each i</w:t>
      </w:r>
      <w:r w:rsidRPr="00A17D9B">
        <w:rPr>
          <w:rFonts w:ascii="Garamond" w:hAnsi="Garamond"/>
          <w:noProof/>
          <w:sz w:val="24"/>
          <w:szCs w:val="24"/>
          <w:lang w:val="en-GB"/>
        </w:rPr>
        <w:t>s</w:t>
      </w:r>
      <w:r w:rsidR="00414382" w:rsidRPr="00A17D9B">
        <w:rPr>
          <w:rFonts w:ascii="Garamond" w:hAnsi="Garamond"/>
          <w:noProof/>
          <w:sz w:val="24"/>
          <w:szCs w:val="24"/>
          <w:lang w:val="en-GB"/>
        </w:rPr>
        <w:t xml:space="preserve"> to be taken as</w:t>
      </w:r>
      <w:r w:rsidRPr="00A17D9B">
        <w:rPr>
          <w:rFonts w:ascii="Garamond" w:hAnsi="Garamond"/>
          <w:noProof/>
          <w:sz w:val="24"/>
          <w:szCs w:val="24"/>
          <w:lang w:val="en-GB"/>
        </w:rPr>
        <w:t xml:space="preserve"> a grain of salt</w:t>
      </w:r>
      <w:r w:rsidR="0097603E" w:rsidRPr="00A17D9B">
        <w:rPr>
          <w:rFonts w:ascii="Garamond" w:hAnsi="Garamond"/>
          <w:noProof/>
          <w:sz w:val="24"/>
          <w:szCs w:val="24"/>
          <w:lang w:val="en-GB"/>
        </w:rPr>
        <w:t xml:space="preserve">. </w:t>
      </w:r>
      <w:r w:rsidR="00165F6C" w:rsidRPr="00A17D9B">
        <w:rPr>
          <w:rFonts w:ascii="Garamond" w:hAnsi="Garamond"/>
          <w:noProof/>
          <w:sz w:val="24"/>
          <w:szCs w:val="24"/>
          <w:lang w:val="en-GB"/>
        </w:rPr>
        <w:t>T</w:t>
      </w:r>
      <w:r w:rsidR="0097603E" w:rsidRPr="00A17D9B">
        <w:rPr>
          <w:rFonts w:ascii="Garamond" w:hAnsi="Garamond"/>
          <w:noProof/>
          <w:sz w:val="24"/>
          <w:szCs w:val="24"/>
          <w:lang w:val="en-GB"/>
        </w:rPr>
        <w:t>he descriptive are based on the conjunction of three key features of tipping point thresholds</w:t>
      </w:r>
      <w:r w:rsidR="009B4475" w:rsidRPr="00A17D9B">
        <w:rPr>
          <w:rFonts w:ascii="Garamond" w:hAnsi="Garamond"/>
          <w:noProof/>
          <w:sz w:val="24"/>
          <w:szCs w:val="24"/>
          <w:lang w:val="en-GB"/>
        </w:rPr>
        <w:t xml:space="preserve">  (size, strenght, swing)</w:t>
      </w:r>
      <w:r w:rsidR="0097603E" w:rsidRPr="00A17D9B">
        <w:rPr>
          <w:rFonts w:ascii="Garamond" w:hAnsi="Garamond"/>
          <w:noProof/>
          <w:sz w:val="24"/>
          <w:szCs w:val="24"/>
          <w:lang w:val="en-GB"/>
        </w:rPr>
        <w:t xml:space="preserve"> and represent a rather crude hypothesis on social change factors. Other elements</w:t>
      </w:r>
      <w:r w:rsidR="00414382" w:rsidRPr="00A17D9B">
        <w:rPr>
          <w:rFonts w:ascii="Garamond" w:hAnsi="Garamond"/>
          <w:noProof/>
          <w:sz w:val="24"/>
          <w:szCs w:val="24"/>
          <w:lang w:val="en-GB"/>
        </w:rPr>
        <w:t xml:space="preserve"> that are not considered here</w:t>
      </w:r>
      <w:r w:rsidR="0097603E" w:rsidRPr="00A17D9B">
        <w:rPr>
          <w:rFonts w:ascii="Garamond" w:hAnsi="Garamond"/>
          <w:noProof/>
          <w:sz w:val="24"/>
          <w:szCs w:val="24"/>
          <w:lang w:val="en-GB"/>
        </w:rPr>
        <w:t xml:space="preserve"> may play al</w:t>
      </w:r>
      <w:r w:rsidR="00414382" w:rsidRPr="00A17D9B">
        <w:rPr>
          <w:rFonts w:ascii="Garamond" w:hAnsi="Garamond"/>
          <w:noProof/>
          <w:sz w:val="24"/>
          <w:szCs w:val="24"/>
          <w:lang w:val="en-GB"/>
        </w:rPr>
        <w:t>ong</w:t>
      </w:r>
      <w:r w:rsidR="0097603E" w:rsidRPr="00A17D9B">
        <w:rPr>
          <w:rFonts w:ascii="Garamond" w:hAnsi="Garamond"/>
          <w:noProof/>
          <w:sz w:val="24"/>
          <w:szCs w:val="24"/>
          <w:lang w:val="en-GB"/>
        </w:rPr>
        <w:t>. Secondly, the space corresponding to each descriptive</w:t>
      </w:r>
      <w:r w:rsidR="009B4475" w:rsidRPr="00A17D9B">
        <w:rPr>
          <w:rFonts w:ascii="Garamond" w:hAnsi="Garamond"/>
          <w:noProof/>
          <w:sz w:val="24"/>
          <w:szCs w:val="24"/>
          <w:lang w:val="en-GB"/>
        </w:rPr>
        <w:t xml:space="preserve"> (dominant positive DS; stable positive</w:t>
      </w:r>
      <w:r w:rsidR="0097603E" w:rsidRPr="00A17D9B">
        <w:rPr>
          <w:rFonts w:ascii="Garamond" w:hAnsi="Garamond"/>
          <w:noProof/>
          <w:sz w:val="24"/>
          <w:szCs w:val="24"/>
          <w:lang w:val="en-GB"/>
        </w:rPr>
        <w:t xml:space="preserve"> </w:t>
      </w:r>
      <w:r w:rsidR="009B4475" w:rsidRPr="00A17D9B">
        <w:rPr>
          <w:rFonts w:ascii="Garamond" w:hAnsi="Garamond"/>
          <w:noProof/>
          <w:sz w:val="24"/>
          <w:szCs w:val="24"/>
          <w:lang w:val="en-GB"/>
        </w:rPr>
        <w:t xml:space="preserve">DS, etc.) </w:t>
      </w:r>
      <w:r w:rsidR="0097603E" w:rsidRPr="00A17D9B">
        <w:rPr>
          <w:rFonts w:ascii="Garamond" w:hAnsi="Garamond"/>
          <w:noProof/>
          <w:sz w:val="24"/>
          <w:szCs w:val="24"/>
          <w:lang w:val="en-GB"/>
        </w:rPr>
        <w:t xml:space="preserve">represent a fuzzy set with no clear border. The belonging of some </w:t>
      </w:r>
      <w:r w:rsidR="00165F6C" w:rsidRPr="00A17D9B">
        <w:rPr>
          <w:rFonts w:ascii="Garamond" w:hAnsi="Garamond"/>
          <w:noProof/>
          <w:sz w:val="24"/>
          <w:szCs w:val="24"/>
          <w:lang w:val="en-GB"/>
        </w:rPr>
        <w:t xml:space="preserve">border </w:t>
      </w:r>
      <w:r w:rsidR="0097603E" w:rsidRPr="00A17D9B">
        <w:rPr>
          <w:rFonts w:ascii="Garamond" w:hAnsi="Garamond"/>
          <w:noProof/>
          <w:sz w:val="24"/>
          <w:szCs w:val="24"/>
          <w:lang w:val="en-GB"/>
        </w:rPr>
        <w:t xml:space="preserve">cases to one or another descriptive may therefore be contested. More work is certainly needed to refine our intuitions, but nonetheless it seems that </w:t>
      </w:r>
      <w:r w:rsidR="0097603E" w:rsidRPr="00A17D9B">
        <w:rPr>
          <w:rFonts w:ascii="Garamond" w:hAnsi="Garamond"/>
          <w:noProof/>
          <w:sz w:val="24"/>
          <w:szCs w:val="24"/>
          <w:lang w:val="en-GB"/>
        </w:rPr>
        <w:lastRenderedPageBreak/>
        <w:t xml:space="preserve">this first description of the </w:t>
      </w:r>
      <w:r w:rsidR="00110E21" w:rsidRPr="00A17D9B">
        <w:rPr>
          <w:rFonts w:ascii="Garamond" w:hAnsi="Garamond"/>
          <w:noProof/>
          <w:sz w:val="24"/>
          <w:szCs w:val="24"/>
          <w:lang w:val="en-GB"/>
        </w:rPr>
        <w:t xml:space="preserve">space of </w:t>
      </w:r>
      <w:r w:rsidR="0097603E" w:rsidRPr="00A17D9B">
        <w:rPr>
          <w:rFonts w:ascii="Garamond" w:hAnsi="Garamond"/>
          <w:noProof/>
          <w:sz w:val="24"/>
          <w:szCs w:val="24"/>
          <w:lang w:val="en-GB"/>
        </w:rPr>
        <w:t>solution</w:t>
      </w:r>
      <w:r w:rsidR="00110E21" w:rsidRPr="00A17D9B">
        <w:rPr>
          <w:rFonts w:ascii="Garamond" w:hAnsi="Garamond"/>
          <w:noProof/>
          <w:sz w:val="24"/>
          <w:szCs w:val="24"/>
          <w:lang w:val="en-GB"/>
        </w:rPr>
        <w:t>s</w:t>
      </w:r>
      <w:r w:rsidR="0097603E" w:rsidRPr="00A17D9B">
        <w:rPr>
          <w:rFonts w:ascii="Garamond" w:hAnsi="Garamond"/>
          <w:noProof/>
          <w:sz w:val="24"/>
          <w:szCs w:val="24"/>
          <w:lang w:val="en-GB"/>
        </w:rPr>
        <w:t xml:space="preserve"> already give</w:t>
      </w:r>
      <w:r w:rsidR="00110E21" w:rsidRPr="00A17D9B">
        <w:rPr>
          <w:rFonts w:ascii="Garamond" w:hAnsi="Garamond"/>
          <w:noProof/>
          <w:sz w:val="24"/>
          <w:szCs w:val="24"/>
          <w:lang w:val="en-GB"/>
        </w:rPr>
        <w:t>s</w:t>
      </w:r>
      <w:r w:rsidR="0097603E" w:rsidRPr="00A17D9B">
        <w:rPr>
          <w:rFonts w:ascii="Garamond" w:hAnsi="Garamond"/>
          <w:noProof/>
          <w:sz w:val="24"/>
          <w:szCs w:val="24"/>
          <w:lang w:val="en-GB"/>
        </w:rPr>
        <w:t xml:space="preserve"> us important information about common good dynamics</w:t>
      </w:r>
      <w:r w:rsidR="00165F6C" w:rsidRPr="00A17D9B">
        <w:rPr>
          <w:rFonts w:ascii="Garamond" w:hAnsi="Garamond"/>
          <w:noProof/>
          <w:sz w:val="24"/>
          <w:szCs w:val="24"/>
          <w:lang w:val="en-GB"/>
        </w:rPr>
        <w:t xml:space="preserve"> in a municipality</w:t>
      </w:r>
      <w:r w:rsidR="0097603E" w:rsidRPr="00A17D9B">
        <w:rPr>
          <w:rFonts w:ascii="Garamond" w:hAnsi="Garamond"/>
          <w:noProof/>
          <w:sz w:val="24"/>
          <w:szCs w:val="24"/>
          <w:lang w:val="en-GB"/>
        </w:rPr>
        <w:t xml:space="preserve">. </w:t>
      </w:r>
    </w:p>
    <w:p w14:paraId="3D24223E" w14:textId="52F24E62" w:rsidR="00EA7DD1" w:rsidRPr="00A17D9B" w:rsidRDefault="00EA7DD1" w:rsidP="00FB11B0">
      <w:pPr>
        <w:rPr>
          <w:noProof/>
          <w:sz w:val="24"/>
          <w:szCs w:val="24"/>
          <w:lang w:val="en-GB"/>
        </w:rPr>
      </w:pPr>
    </w:p>
    <w:p w14:paraId="6797A454" w14:textId="167A9C0D" w:rsidR="00110E21" w:rsidRPr="00A17D9B" w:rsidRDefault="00110E21" w:rsidP="007623CF">
      <w:pPr>
        <w:pStyle w:val="Ttulo1"/>
        <w:jc w:val="right"/>
        <w:rPr>
          <w:lang w:val="en-US"/>
        </w:rPr>
      </w:pPr>
      <w:r w:rsidRPr="00A17D9B">
        <w:rPr>
          <w:noProof/>
          <w:lang w:val="en-GB"/>
        </w:rPr>
        <w:t xml:space="preserve">Conclusions. </w:t>
      </w:r>
      <w:r w:rsidR="00414382" w:rsidRPr="00A17D9B">
        <w:rPr>
          <w:lang w:val="en-US"/>
        </w:rPr>
        <w:t>Value and Utility of the Approach: What Sort of Information Do We Get from the M</w:t>
      </w:r>
      <w:r w:rsidR="003728E3" w:rsidRPr="00A17D9B">
        <w:rPr>
          <w:lang w:val="en-US"/>
        </w:rPr>
        <w:t xml:space="preserve">etric? </w:t>
      </w:r>
    </w:p>
    <w:p w14:paraId="21A14B85" w14:textId="2BB2C127" w:rsidR="003728E3" w:rsidRPr="00A17D9B" w:rsidRDefault="00110E21" w:rsidP="0052664D">
      <w:pPr>
        <w:spacing w:before="120" w:after="0" w:line="320" w:lineRule="atLeast"/>
        <w:jc w:val="both"/>
        <w:rPr>
          <w:rFonts w:ascii="Garamond" w:hAnsi="Garamond" w:cs="Calibri"/>
          <w:color w:val="000000"/>
          <w:sz w:val="24"/>
          <w:szCs w:val="24"/>
          <w:lang w:val="en-US"/>
        </w:rPr>
      </w:pPr>
      <w:r w:rsidRPr="00A17D9B">
        <w:rPr>
          <w:rFonts w:ascii="Garamond" w:hAnsi="Garamond" w:cs="Calibri"/>
          <w:color w:val="000000"/>
          <w:sz w:val="24"/>
          <w:szCs w:val="24"/>
          <w:lang w:val="en-US"/>
        </w:rPr>
        <w:t xml:space="preserve">As a form of </w:t>
      </w:r>
      <w:r w:rsidR="00E42C2D" w:rsidRPr="00A17D9B">
        <w:rPr>
          <w:rFonts w:ascii="Garamond" w:hAnsi="Garamond" w:cs="Calibri"/>
          <w:color w:val="000000"/>
          <w:sz w:val="24"/>
          <w:szCs w:val="24"/>
          <w:lang w:val="en-US"/>
        </w:rPr>
        <w:t>conclusion,</w:t>
      </w:r>
      <w:r w:rsidRPr="00A17D9B">
        <w:rPr>
          <w:rFonts w:ascii="Garamond" w:hAnsi="Garamond" w:cs="Calibri"/>
          <w:color w:val="000000"/>
          <w:sz w:val="24"/>
          <w:szCs w:val="24"/>
          <w:lang w:val="en-US"/>
        </w:rPr>
        <w:t xml:space="preserve"> it may be interesting to underline the value of the information provided by the metric. As said before, there are many metrics and plenty of data on development. </w:t>
      </w:r>
      <w:r w:rsidR="00E42C2D" w:rsidRPr="00A17D9B">
        <w:rPr>
          <w:rFonts w:ascii="Garamond" w:hAnsi="Garamond" w:cs="Calibri"/>
          <w:color w:val="000000"/>
          <w:sz w:val="24"/>
          <w:szCs w:val="24"/>
          <w:lang w:val="en-US"/>
        </w:rPr>
        <w:t>To be pertinent, a</w:t>
      </w:r>
      <w:r w:rsidRPr="00A17D9B">
        <w:rPr>
          <w:rFonts w:ascii="Garamond" w:hAnsi="Garamond" w:cs="Calibri"/>
          <w:color w:val="000000"/>
          <w:sz w:val="24"/>
          <w:szCs w:val="24"/>
          <w:lang w:val="en-US"/>
        </w:rPr>
        <w:t xml:space="preserve">ny </w:t>
      </w:r>
      <w:r w:rsidR="00E42C2D" w:rsidRPr="00A17D9B">
        <w:rPr>
          <w:rFonts w:ascii="Garamond" w:hAnsi="Garamond" w:cs="Calibri"/>
          <w:color w:val="000000"/>
          <w:sz w:val="24"/>
          <w:szCs w:val="24"/>
          <w:lang w:val="en-US"/>
        </w:rPr>
        <w:t>‘</w:t>
      </w:r>
      <w:r w:rsidRPr="00A17D9B">
        <w:rPr>
          <w:rFonts w:ascii="Garamond" w:hAnsi="Garamond" w:cs="Calibri"/>
          <w:color w:val="000000"/>
          <w:sz w:val="24"/>
          <w:szCs w:val="24"/>
          <w:lang w:val="en-US"/>
        </w:rPr>
        <w:t>new approach</w:t>
      </w:r>
      <w:r w:rsidR="00E42C2D" w:rsidRPr="00A17D9B">
        <w:rPr>
          <w:rFonts w:ascii="Garamond" w:hAnsi="Garamond" w:cs="Calibri"/>
          <w:color w:val="000000"/>
          <w:sz w:val="24"/>
          <w:szCs w:val="24"/>
          <w:lang w:val="en-US"/>
        </w:rPr>
        <w:t>’</w:t>
      </w:r>
      <w:r w:rsidRPr="00A17D9B">
        <w:rPr>
          <w:rFonts w:ascii="Garamond" w:hAnsi="Garamond" w:cs="Calibri"/>
          <w:color w:val="000000"/>
          <w:sz w:val="24"/>
          <w:szCs w:val="24"/>
          <w:lang w:val="en-US"/>
        </w:rPr>
        <w:t xml:space="preserve"> </w:t>
      </w:r>
      <w:r w:rsidR="00E42C2D" w:rsidRPr="00A17D9B">
        <w:rPr>
          <w:rFonts w:ascii="Garamond" w:hAnsi="Garamond" w:cs="Calibri"/>
          <w:color w:val="000000"/>
          <w:sz w:val="24"/>
          <w:szCs w:val="24"/>
          <w:lang w:val="en-US"/>
        </w:rPr>
        <w:t>should</w:t>
      </w:r>
      <w:r w:rsidRPr="00A17D9B">
        <w:rPr>
          <w:rFonts w:ascii="Garamond" w:hAnsi="Garamond" w:cs="Calibri"/>
          <w:color w:val="000000"/>
          <w:sz w:val="24"/>
          <w:szCs w:val="24"/>
          <w:lang w:val="en-US"/>
        </w:rPr>
        <w:t xml:space="preserve"> provide valuable information </w:t>
      </w:r>
      <w:r w:rsidR="00E42C2D" w:rsidRPr="00A17D9B">
        <w:rPr>
          <w:rFonts w:ascii="Garamond" w:hAnsi="Garamond" w:cs="Calibri"/>
          <w:color w:val="000000"/>
          <w:sz w:val="24"/>
          <w:szCs w:val="24"/>
          <w:lang w:val="en-US"/>
        </w:rPr>
        <w:t xml:space="preserve">not covered by </w:t>
      </w:r>
      <w:r w:rsidRPr="00A17D9B">
        <w:rPr>
          <w:rFonts w:ascii="Garamond" w:hAnsi="Garamond" w:cs="Calibri"/>
          <w:color w:val="000000"/>
          <w:sz w:val="24"/>
          <w:szCs w:val="24"/>
          <w:lang w:val="en-US"/>
        </w:rPr>
        <w:t xml:space="preserve">other metrics. </w:t>
      </w:r>
      <w:r w:rsidR="002770B4" w:rsidRPr="00A17D9B">
        <w:rPr>
          <w:rFonts w:ascii="Garamond" w:hAnsi="Garamond" w:cs="Calibri"/>
          <w:color w:val="000000"/>
          <w:sz w:val="24"/>
          <w:szCs w:val="24"/>
          <w:lang w:val="en-US"/>
        </w:rPr>
        <w:t>We argued our case th</w:t>
      </w:r>
      <w:r w:rsidR="007F3FDE" w:rsidRPr="00A17D9B">
        <w:rPr>
          <w:rFonts w:ascii="Garamond" w:hAnsi="Garamond" w:cs="Calibri"/>
          <w:color w:val="000000"/>
          <w:sz w:val="24"/>
          <w:szCs w:val="24"/>
          <w:lang w:val="en-US"/>
        </w:rPr>
        <w:t>eoretically in the previous section</w:t>
      </w:r>
      <w:r w:rsidR="002770B4" w:rsidRPr="00A17D9B">
        <w:rPr>
          <w:rFonts w:ascii="Garamond" w:hAnsi="Garamond" w:cs="Calibri"/>
          <w:color w:val="000000"/>
          <w:sz w:val="24"/>
          <w:szCs w:val="24"/>
          <w:lang w:val="en-US"/>
        </w:rPr>
        <w:t>s but</w:t>
      </w:r>
      <w:r w:rsidR="007F3FDE" w:rsidRPr="00A17D9B">
        <w:rPr>
          <w:rFonts w:ascii="Garamond" w:hAnsi="Garamond" w:cs="Calibri"/>
          <w:color w:val="000000"/>
          <w:sz w:val="24"/>
          <w:szCs w:val="24"/>
          <w:lang w:val="en-US"/>
        </w:rPr>
        <w:t xml:space="preserve"> at this point, we</w:t>
      </w:r>
      <w:r w:rsidR="002770B4" w:rsidRPr="00A17D9B">
        <w:rPr>
          <w:rFonts w:ascii="Garamond" w:hAnsi="Garamond" w:cs="Calibri"/>
          <w:color w:val="000000"/>
          <w:sz w:val="24"/>
          <w:szCs w:val="24"/>
          <w:lang w:val="en-US"/>
        </w:rPr>
        <w:t xml:space="preserve"> want to g</w:t>
      </w:r>
      <w:r w:rsidR="007F3FDE" w:rsidRPr="00A17D9B">
        <w:rPr>
          <w:rFonts w:ascii="Garamond" w:hAnsi="Garamond" w:cs="Calibri"/>
          <w:color w:val="000000"/>
          <w:sz w:val="24"/>
          <w:szCs w:val="24"/>
          <w:lang w:val="en-US"/>
        </w:rPr>
        <w:t xml:space="preserve">ive </w:t>
      </w:r>
      <w:r w:rsidR="00F471C3" w:rsidRPr="00A17D9B">
        <w:rPr>
          <w:rFonts w:ascii="Garamond" w:hAnsi="Garamond" w:cs="Calibri"/>
          <w:color w:val="000000"/>
          <w:sz w:val="24"/>
          <w:szCs w:val="24"/>
          <w:lang w:val="en-US"/>
        </w:rPr>
        <w:t xml:space="preserve">some </w:t>
      </w:r>
      <w:r w:rsidR="002770B4" w:rsidRPr="00A17D9B">
        <w:rPr>
          <w:rFonts w:ascii="Garamond" w:hAnsi="Garamond" w:cs="Calibri"/>
          <w:color w:val="000000"/>
          <w:sz w:val="24"/>
          <w:szCs w:val="24"/>
          <w:lang w:val="en-US"/>
        </w:rPr>
        <w:t>concrete example</w:t>
      </w:r>
      <w:r w:rsidR="00E42C2D" w:rsidRPr="00A17D9B">
        <w:rPr>
          <w:rFonts w:ascii="Garamond" w:hAnsi="Garamond" w:cs="Calibri"/>
          <w:color w:val="000000"/>
          <w:sz w:val="24"/>
          <w:szCs w:val="24"/>
          <w:lang w:val="en-US"/>
        </w:rPr>
        <w:t>s</w:t>
      </w:r>
      <w:r w:rsidR="002770B4" w:rsidRPr="00A17D9B">
        <w:rPr>
          <w:rFonts w:ascii="Garamond" w:hAnsi="Garamond" w:cs="Calibri"/>
          <w:color w:val="000000"/>
          <w:sz w:val="24"/>
          <w:szCs w:val="24"/>
          <w:lang w:val="en-US"/>
        </w:rPr>
        <w:t xml:space="preserve"> of what the metric </w:t>
      </w:r>
      <w:r w:rsidR="00E42C2D" w:rsidRPr="00A17D9B">
        <w:rPr>
          <w:rFonts w:ascii="Garamond" w:hAnsi="Garamond" w:cs="Calibri"/>
          <w:color w:val="000000"/>
          <w:sz w:val="24"/>
          <w:szCs w:val="24"/>
          <w:lang w:val="en-US"/>
        </w:rPr>
        <w:t>help</w:t>
      </w:r>
      <w:r w:rsidR="006B7EB6" w:rsidRPr="00A17D9B">
        <w:rPr>
          <w:rFonts w:ascii="Garamond" w:hAnsi="Garamond" w:cs="Calibri"/>
          <w:color w:val="000000"/>
          <w:sz w:val="24"/>
          <w:szCs w:val="24"/>
          <w:lang w:val="en-US"/>
        </w:rPr>
        <w:t>s</w:t>
      </w:r>
      <w:r w:rsidR="00E42C2D" w:rsidRPr="00A17D9B">
        <w:rPr>
          <w:rFonts w:ascii="Garamond" w:hAnsi="Garamond" w:cs="Calibri"/>
          <w:color w:val="000000"/>
          <w:sz w:val="24"/>
          <w:szCs w:val="24"/>
          <w:lang w:val="en-US"/>
        </w:rPr>
        <w:t xml:space="preserve"> identify</w:t>
      </w:r>
      <w:r w:rsidR="002770B4" w:rsidRPr="00A17D9B">
        <w:rPr>
          <w:rFonts w:ascii="Garamond" w:hAnsi="Garamond" w:cs="Calibri"/>
          <w:color w:val="000000"/>
          <w:sz w:val="24"/>
          <w:szCs w:val="24"/>
          <w:lang w:val="en-US"/>
        </w:rPr>
        <w:t xml:space="preserve"> once it is applied. </w:t>
      </w:r>
      <w:r w:rsidR="00E42C2D" w:rsidRPr="00A17D9B">
        <w:rPr>
          <w:rFonts w:ascii="Garamond" w:hAnsi="Garamond" w:cs="Calibri"/>
          <w:color w:val="000000"/>
          <w:sz w:val="24"/>
          <w:szCs w:val="24"/>
          <w:lang w:val="en-US"/>
        </w:rPr>
        <w:t>To do so, w</w:t>
      </w:r>
      <w:r w:rsidR="002770B4" w:rsidRPr="00A17D9B">
        <w:rPr>
          <w:rFonts w:ascii="Garamond" w:hAnsi="Garamond" w:cs="Calibri"/>
          <w:color w:val="000000"/>
          <w:sz w:val="24"/>
          <w:szCs w:val="24"/>
          <w:lang w:val="en-US"/>
        </w:rPr>
        <w:t xml:space="preserve">e will </w:t>
      </w:r>
      <w:r w:rsidR="00F471C3" w:rsidRPr="00A17D9B">
        <w:rPr>
          <w:rFonts w:ascii="Garamond" w:hAnsi="Garamond" w:cs="Calibri"/>
          <w:color w:val="000000"/>
          <w:sz w:val="24"/>
          <w:szCs w:val="24"/>
          <w:lang w:val="en-US"/>
        </w:rPr>
        <w:t>drive home some of the experience</w:t>
      </w:r>
      <w:r w:rsidR="00E42C2D" w:rsidRPr="00A17D9B">
        <w:rPr>
          <w:rFonts w:ascii="Garamond" w:hAnsi="Garamond" w:cs="Calibri"/>
          <w:color w:val="000000"/>
          <w:sz w:val="24"/>
          <w:szCs w:val="24"/>
          <w:lang w:val="en-US"/>
        </w:rPr>
        <w:t>s</w:t>
      </w:r>
      <w:r w:rsidR="00F471C3" w:rsidRPr="00A17D9B">
        <w:rPr>
          <w:rFonts w:ascii="Garamond" w:hAnsi="Garamond" w:cs="Calibri"/>
          <w:color w:val="000000"/>
          <w:sz w:val="24"/>
          <w:szCs w:val="24"/>
          <w:lang w:val="en-US"/>
        </w:rPr>
        <w:t xml:space="preserve"> acquired through </w:t>
      </w:r>
      <w:r w:rsidR="009E6CC6" w:rsidRPr="00A17D9B">
        <w:rPr>
          <w:rFonts w:ascii="Garamond" w:hAnsi="Garamond" w:cs="Calibri"/>
          <w:color w:val="000000"/>
          <w:sz w:val="24"/>
          <w:szCs w:val="24"/>
          <w:lang w:val="en-US"/>
        </w:rPr>
        <w:t>one of the</w:t>
      </w:r>
      <w:r w:rsidR="00F471C3" w:rsidRPr="00A17D9B">
        <w:rPr>
          <w:rFonts w:ascii="Garamond" w:hAnsi="Garamond" w:cs="Calibri"/>
          <w:color w:val="000000"/>
          <w:sz w:val="24"/>
          <w:szCs w:val="24"/>
          <w:lang w:val="en-US"/>
        </w:rPr>
        <w:t xml:space="preserve"> pilot probe</w:t>
      </w:r>
      <w:r w:rsidR="009E6CC6" w:rsidRPr="00A17D9B">
        <w:rPr>
          <w:rFonts w:ascii="Garamond" w:hAnsi="Garamond" w:cs="Calibri"/>
          <w:color w:val="000000"/>
          <w:sz w:val="24"/>
          <w:szCs w:val="24"/>
          <w:lang w:val="en-US"/>
        </w:rPr>
        <w:t>s</w:t>
      </w:r>
      <w:r w:rsidR="00F471C3" w:rsidRPr="00A17D9B">
        <w:rPr>
          <w:rStyle w:val="Refdenotaalpie"/>
          <w:rFonts w:ascii="Garamond" w:hAnsi="Garamond" w:cs="Calibri"/>
          <w:color w:val="000000"/>
          <w:sz w:val="24"/>
          <w:szCs w:val="24"/>
          <w:lang w:val="en-US"/>
        </w:rPr>
        <w:footnoteReference w:id="19"/>
      </w:r>
      <w:r w:rsidR="006B7EB6" w:rsidRPr="00A17D9B">
        <w:rPr>
          <w:rFonts w:ascii="Garamond" w:hAnsi="Garamond" w:cs="Calibri"/>
          <w:color w:val="000000"/>
          <w:sz w:val="24"/>
          <w:szCs w:val="24"/>
          <w:lang w:val="en-US"/>
        </w:rPr>
        <w:t xml:space="preserve"> applied in</w:t>
      </w:r>
      <w:r w:rsidR="00F471C3" w:rsidRPr="00A17D9B">
        <w:rPr>
          <w:rFonts w:ascii="Garamond" w:hAnsi="Garamond" w:cs="Calibri"/>
          <w:color w:val="000000"/>
          <w:sz w:val="24"/>
          <w:szCs w:val="24"/>
          <w:lang w:val="en-US"/>
        </w:rPr>
        <w:t xml:space="preserve"> the municipality of Ocotepec</w:t>
      </w:r>
      <w:r w:rsidR="006B7EB6" w:rsidRPr="00A17D9B">
        <w:rPr>
          <w:rFonts w:ascii="Garamond" w:hAnsi="Garamond" w:cs="Calibri"/>
          <w:color w:val="000000"/>
          <w:sz w:val="24"/>
          <w:szCs w:val="24"/>
          <w:lang w:val="en-US"/>
        </w:rPr>
        <w:t xml:space="preserve"> in the s</w:t>
      </w:r>
      <w:r w:rsidR="005E206B" w:rsidRPr="00A17D9B">
        <w:rPr>
          <w:rFonts w:ascii="Garamond" w:hAnsi="Garamond" w:cs="Calibri"/>
          <w:color w:val="000000"/>
          <w:sz w:val="24"/>
          <w:szCs w:val="24"/>
          <w:lang w:val="en-US"/>
        </w:rPr>
        <w:t>tate of Puebla</w:t>
      </w:r>
      <w:r w:rsidR="00E42C2D" w:rsidRPr="00A17D9B">
        <w:rPr>
          <w:rStyle w:val="Refdenotaalpie"/>
          <w:rFonts w:ascii="Garamond" w:hAnsi="Garamond" w:cs="Calibri"/>
          <w:color w:val="000000"/>
          <w:sz w:val="24"/>
          <w:szCs w:val="24"/>
          <w:lang w:val="en-US"/>
        </w:rPr>
        <w:footnoteReference w:id="20"/>
      </w:r>
      <w:r w:rsidR="00F471C3" w:rsidRPr="00A17D9B">
        <w:rPr>
          <w:rFonts w:ascii="Garamond" w:hAnsi="Garamond" w:cs="Calibri"/>
          <w:color w:val="000000"/>
          <w:sz w:val="24"/>
          <w:szCs w:val="24"/>
          <w:lang w:val="en-US"/>
        </w:rPr>
        <w:t>.</w:t>
      </w:r>
    </w:p>
    <w:p w14:paraId="7FDF5757" w14:textId="75B9275E" w:rsidR="00E42C2D" w:rsidRPr="00A17D9B" w:rsidRDefault="00E42C2D" w:rsidP="0052664D">
      <w:pPr>
        <w:pStyle w:val="NormalWeb"/>
        <w:spacing w:before="120" w:beforeAutospacing="0" w:after="0" w:afterAutospacing="0" w:line="320" w:lineRule="atLeast"/>
        <w:jc w:val="both"/>
        <w:textAlignment w:val="baseline"/>
        <w:rPr>
          <w:rFonts w:ascii="Garamond" w:hAnsi="Garamond" w:cstheme="minorHAnsi"/>
          <w:lang w:val="en-GB"/>
        </w:rPr>
      </w:pPr>
      <w:r w:rsidRPr="00A17D9B">
        <w:rPr>
          <w:rFonts w:ascii="Garamond" w:hAnsi="Garamond" w:cstheme="minorHAnsi"/>
          <w:lang w:val="en-GB"/>
        </w:rPr>
        <w:t>The following graph present</w:t>
      </w:r>
      <w:r w:rsidR="00AD53C7" w:rsidRPr="00A17D9B">
        <w:rPr>
          <w:rFonts w:ascii="Garamond" w:hAnsi="Garamond" w:cstheme="minorHAnsi"/>
          <w:lang w:val="en-GB"/>
        </w:rPr>
        <w:t>s</w:t>
      </w:r>
      <w:r w:rsidRPr="00A17D9B">
        <w:rPr>
          <w:rFonts w:ascii="Garamond" w:hAnsi="Garamond" w:cstheme="minorHAnsi"/>
          <w:lang w:val="en-GB"/>
        </w:rPr>
        <w:t xml:space="preserve"> a synthesis of the main </w:t>
      </w:r>
      <w:r w:rsidR="00AD53C7" w:rsidRPr="00A17D9B">
        <w:rPr>
          <w:rFonts w:ascii="Garamond" w:hAnsi="Garamond" w:cstheme="minorHAnsi"/>
          <w:lang w:val="en-GB"/>
        </w:rPr>
        <w:t xml:space="preserve">results obtained for </w:t>
      </w:r>
      <w:r w:rsidRPr="00A17D9B">
        <w:rPr>
          <w:rFonts w:ascii="Garamond" w:hAnsi="Garamond" w:cstheme="minorHAnsi"/>
          <w:lang w:val="en-GB"/>
        </w:rPr>
        <w:t xml:space="preserve">Ocotepec. </w:t>
      </w:r>
    </w:p>
    <w:p w14:paraId="20770C24" w14:textId="1D33D441" w:rsidR="007623CF" w:rsidRDefault="007623CF" w:rsidP="0052664D">
      <w:pPr>
        <w:pStyle w:val="NormalWeb"/>
        <w:spacing w:before="120" w:beforeAutospacing="0" w:after="0" w:afterAutospacing="0" w:line="320" w:lineRule="atLeast"/>
        <w:jc w:val="both"/>
        <w:textAlignment w:val="baseline"/>
        <w:rPr>
          <w:rFonts w:ascii="Garamond" w:hAnsi="Garamond" w:cstheme="minorHAnsi"/>
          <w:i/>
          <w:iCs/>
          <w:lang w:val="en-GB"/>
        </w:rPr>
      </w:pPr>
      <w:r w:rsidRPr="00A17D9B">
        <w:rPr>
          <w:rFonts w:ascii="Garamond" w:hAnsi="Garamond" w:cstheme="minorHAnsi"/>
          <w:i/>
          <w:iCs/>
          <w:lang w:val="en-GB"/>
        </w:rPr>
        <w:t>Figure 3. Dashboard of results for Ocotepec</w:t>
      </w:r>
    </w:p>
    <w:p w14:paraId="1696CBDA" w14:textId="78C169DF" w:rsidR="00A17D9B" w:rsidRDefault="00A17D9B" w:rsidP="0052664D">
      <w:pPr>
        <w:pStyle w:val="NormalWeb"/>
        <w:spacing w:before="120" w:beforeAutospacing="0" w:after="0" w:afterAutospacing="0" w:line="320" w:lineRule="atLeast"/>
        <w:jc w:val="both"/>
        <w:textAlignment w:val="baseline"/>
        <w:rPr>
          <w:rFonts w:ascii="Garamond" w:hAnsi="Garamond" w:cstheme="minorHAnsi"/>
          <w:i/>
          <w:iCs/>
          <w:lang w:val="en-GB"/>
        </w:rPr>
      </w:pPr>
      <w:r>
        <w:rPr>
          <w:noProof/>
        </w:rPr>
        <w:drawing>
          <wp:anchor distT="0" distB="0" distL="114300" distR="114300" simplePos="0" relativeHeight="251658240" behindDoc="0" locked="0" layoutInCell="1" allowOverlap="1" wp14:anchorId="08BED46F" wp14:editId="69B95C3B">
            <wp:simplePos x="0" y="0"/>
            <wp:positionH relativeFrom="column">
              <wp:posOffset>3258820</wp:posOffset>
            </wp:positionH>
            <wp:positionV relativeFrom="paragraph">
              <wp:posOffset>83820</wp:posOffset>
            </wp:positionV>
            <wp:extent cx="2870907" cy="2038350"/>
            <wp:effectExtent l="0" t="0" r="571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70907" cy="20383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03DD103" wp14:editId="02EEA823">
            <wp:extent cx="3234045" cy="1866900"/>
            <wp:effectExtent l="0" t="0" r="508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54887" cy="1878931"/>
                    </a:xfrm>
                    <a:prstGeom prst="rect">
                      <a:avLst/>
                    </a:prstGeom>
                  </pic:spPr>
                </pic:pic>
              </a:graphicData>
            </a:graphic>
          </wp:inline>
        </w:drawing>
      </w:r>
    </w:p>
    <w:p w14:paraId="63BE6E24" w14:textId="705890A4" w:rsidR="00A17D9B" w:rsidRPr="00A17D9B" w:rsidRDefault="00A17D9B" w:rsidP="0052664D">
      <w:pPr>
        <w:pStyle w:val="NormalWeb"/>
        <w:spacing w:before="120" w:beforeAutospacing="0" w:after="0" w:afterAutospacing="0" w:line="320" w:lineRule="atLeast"/>
        <w:jc w:val="both"/>
        <w:textAlignment w:val="baseline"/>
        <w:rPr>
          <w:rFonts w:ascii="Garamond" w:hAnsi="Garamond" w:cstheme="minorHAnsi"/>
          <w:i/>
          <w:iCs/>
          <w:lang w:val="en-GB"/>
        </w:rPr>
      </w:pPr>
      <w:bookmarkStart w:id="1" w:name="_GoBack"/>
      <w:bookmarkEnd w:id="1"/>
    </w:p>
    <w:p w14:paraId="63C16210" w14:textId="65F431C2" w:rsidR="00E42C2D" w:rsidRDefault="00A17D9B" w:rsidP="0052664D">
      <w:pPr>
        <w:pStyle w:val="NormalWeb"/>
        <w:spacing w:before="120" w:beforeAutospacing="0" w:after="0" w:afterAutospacing="0" w:line="320" w:lineRule="atLeast"/>
        <w:jc w:val="both"/>
        <w:textAlignment w:val="baseline"/>
        <w:rPr>
          <w:rFonts w:ascii="Garamond" w:hAnsi="Garamond" w:cstheme="minorHAnsi"/>
          <w:lang w:val="en-GB"/>
        </w:rPr>
      </w:pPr>
      <w:r>
        <w:rPr>
          <w:noProof/>
        </w:rPr>
        <w:lastRenderedPageBreak/>
        <w:drawing>
          <wp:inline distT="0" distB="0" distL="0" distR="0" wp14:anchorId="3E93B618" wp14:editId="1BF01F79">
            <wp:extent cx="5612130" cy="3408045"/>
            <wp:effectExtent l="0" t="0" r="762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3408045"/>
                    </a:xfrm>
                    <a:prstGeom prst="rect">
                      <a:avLst/>
                    </a:prstGeom>
                  </pic:spPr>
                </pic:pic>
              </a:graphicData>
            </a:graphic>
          </wp:inline>
        </w:drawing>
      </w:r>
    </w:p>
    <w:p w14:paraId="6425C048" w14:textId="77777777" w:rsidR="00A17D9B" w:rsidRPr="00A17D9B" w:rsidRDefault="00A17D9B" w:rsidP="0052664D">
      <w:pPr>
        <w:pStyle w:val="NormalWeb"/>
        <w:spacing w:before="120" w:beforeAutospacing="0" w:after="0" w:afterAutospacing="0" w:line="320" w:lineRule="atLeast"/>
        <w:jc w:val="both"/>
        <w:textAlignment w:val="baseline"/>
        <w:rPr>
          <w:rFonts w:ascii="Garamond" w:hAnsi="Garamond" w:cstheme="minorHAnsi"/>
          <w:lang w:val="en-GB"/>
        </w:rPr>
      </w:pPr>
    </w:p>
    <w:p w14:paraId="2A9C3E71" w14:textId="77777777" w:rsidR="002919FF" w:rsidRPr="00A17D9B" w:rsidRDefault="002919FF" w:rsidP="007623CF">
      <w:pPr>
        <w:pStyle w:val="Subttulo"/>
        <w:spacing w:before="120" w:after="0"/>
        <w:jc w:val="right"/>
        <w:rPr>
          <w:lang w:val="en-GB"/>
        </w:rPr>
      </w:pPr>
      <w:r w:rsidRPr="00A17D9B">
        <w:rPr>
          <w:lang w:val="en-GB"/>
        </w:rPr>
        <w:t>At the systemic level</w:t>
      </w:r>
    </w:p>
    <w:p w14:paraId="05265DD3" w14:textId="010F3992" w:rsidR="00C1379F" w:rsidRPr="00A17D9B" w:rsidRDefault="002368A4" w:rsidP="00134FDE">
      <w:pPr>
        <w:pStyle w:val="NormalWeb"/>
        <w:spacing w:before="120" w:beforeAutospacing="0" w:after="0" w:afterAutospacing="0" w:line="320" w:lineRule="atLeast"/>
        <w:jc w:val="both"/>
        <w:textAlignment w:val="baseline"/>
        <w:rPr>
          <w:rFonts w:ascii="Garamond" w:hAnsi="Garamond"/>
          <w:lang w:val="en-GB"/>
        </w:rPr>
      </w:pPr>
      <w:r w:rsidRPr="00A17D9B">
        <w:rPr>
          <w:rFonts w:ascii="Garamond" w:hAnsi="Garamond"/>
          <w:lang w:val="en-GB"/>
        </w:rPr>
        <w:t xml:space="preserve">A first observation is that while the aggregated Common Good Dynamic (CGD) for Ocotepec is </w:t>
      </w:r>
      <w:r w:rsidR="008B3F79" w:rsidRPr="00A17D9B">
        <w:rPr>
          <w:rFonts w:ascii="Garamond" w:hAnsi="Garamond"/>
          <w:lang w:val="en-GB"/>
        </w:rPr>
        <w:t xml:space="preserve">that </w:t>
      </w:r>
      <w:r w:rsidRPr="00A17D9B">
        <w:rPr>
          <w:rFonts w:ascii="Garamond" w:hAnsi="Garamond"/>
          <w:lang w:val="en-GB"/>
        </w:rPr>
        <w:t>of 2.5, this still qua</w:t>
      </w:r>
      <w:r w:rsidR="008B3F79" w:rsidRPr="00A17D9B">
        <w:rPr>
          <w:rFonts w:ascii="Garamond" w:hAnsi="Garamond"/>
          <w:lang w:val="en-GB"/>
        </w:rPr>
        <w:t>lifies</w:t>
      </w:r>
      <w:r w:rsidRPr="00A17D9B">
        <w:rPr>
          <w:rFonts w:ascii="Garamond" w:hAnsi="Garamond"/>
          <w:lang w:val="en-GB"/>
        </w:rPr>
        <w:t xml:space="preserve"> for a reading between ‘Vulnerable</w:t>
      </w:r>
      <w:r w:rsidR="005E206B" w:rsidRPr="00A17D9B">
        <w:rPr>
          <w:rFonts w:ascii="Garamond" w:hAnsi="Garamond"/>
          <w:lang w:val="en-GB"/>
        </w:rPr>
        <w:t xml:space="preserve"> positive social dynamic</w:t>
      </w:r>
      <w:r w:rsidRPr="00A17D9B">
        <w:rPr>
          <w:rFonts w:ascii="Garamond" w:hAnsi="Garamond"/>
          <w:lang w:val="en-GB"/>
        </w:rPr>
        <w:t>’ and ‘In transition</w:t>
      </w:r>
      <w:r w:rsidR="005E206B" w:rsidRPr="00A17D9B">
        <w:rPr>
          <w:rFonts w:ascii="Garamond" w:hAnsi="Garamond"/>
          <w:lang w:val="en-GB"/>
        </w:rPr>
        <w:t xml:space="preserve"> positive social dynamic’</w:t>
      </w:r>
      <w:r w:rsidRPr="00A17D9B">
        <w:rPr>
          <w:rFonts w:ascii="Garamond" w:hAnsi="Garamond"/>
          <w:lang w:val="en-GB"/>
        </w:rPr>
        <w:t xml:space="preserve">. </w:t>
      </w:r>
      <w:r w:rsidR="001B3284" w:rsidRPr="00A17D9B">
        <w:rPr>
          <w:rFonts w:ascii="Garamond" w:hAnsi="Garamond"/>
          <w:lang w:val="en-GB"/>
        </w:rPr>
        <w:t xml:space="preserve">The situation is therefore frail, suggesting several vulnerability spots. One of these immediately </w:t>
      </w:r>
      <w:r w:rsidR="005E206B" w:rsidRPr="00A17D9B">
        <w:rPr>
          <w:rFonts w:ascii="Garamond" w:hAnsi="Garamond"/>
          <w:lang w:val="en-GB"/>
        </w:rPr>
        <w:t>strike out</w:t>
      </w:r>
      <w:r w:rsidR="001B3284" w:rsidRPr="00A17D9B">
        <w:rPr>
          <w:rFonts w:ascii="Garamond" w:hAnsi="Garamond"/>
          <w:lang w:val="en-GB"/>
        </w:rPr>
        <w:t xml:space="preserve">, with the low score of Humanity (1.8), which in turn </w:t>
      </w:r>
      <w:r w:rsidR="005E206B" w:rsidRPr="00A17D9B">
        <w:rPr>
          <w:rFonts w:ascii="Garamond" w:hAnsi="Garamond"/>
          <w:lang w:val="en-GB"/>
        </w:rPr>
        <w:t>seems</w:t>
      </w:r>
      <w:r w:rsidR="001B3284" w:rsidRPr="00A17D9B">
        <w:rPr>
          <w:rFonts w:ascii="Garamond" w:hAnsi="Garamond"/>
          <w:lang w:val="en-GB"/>
        </w:rPr>
        <w:t xml:space="preserve"> mostly driven by the negative reading of ‘</w:t>
      </w:r>
      <w:r w:rsidR="005E206B" w:rsidRPr="00A17D9B">
        <w:rPr>
          <w:rFonts w:ascii="Garamond" w:hAnsi="Garamond"/>
          <w:lang w:val="en-GB"/>
        </w:rPr>
        <w:t>P</w:t>
      </w:r>
      <w:r w:rsidR="001B3284" w:rsidRPr="00A17D9B">
        <w:rPr>
          <w:rFonts w:ascii="Garamond" w:hAnsi="Garamond"/>
          <w:lang w:val="en-GB"/>
        </w:rPr>
        <w:t xml:space="preserve">eace and </w:t>
      </w:r>
      <w:r w:rsidR="005E206B" w:rsidRPr="00A17D9B">
        <w:rPr>
          <w:rFonts w:ascii="Garamond" w:hAnsi="Garamond"/>
          <w:lang w:val="en-GB"/>
        </w:rPr>
        <w:t>C</w:t>
      </w:r>
      <w:r w:rsidR="001B3284" w:rsidRPr="00A17D9B">
        <w:rPr>
          <w:rFonts w:ascii="Garamond" w:hAnsi="Garamond"/>
          <w:lang w:val="en-GB"/>
        </w:rPr>
        <w:t xml:space="preserve">oncord’ (-3: Vulnerable </w:t>
      </w:r>
      <w:r w:rsidR="001B3284" w:rsidRPr="00A17D9B">
        <w:rPr>
          <w:rFonts w:ascii="Garamond" w:hAnsi="Garamond"/>
          <w:i/>
          <w:iCs/>
          <w:lang w:val="en-GB"/>
        </w:rPr>
        <w:t>negative</w:t>
      </w:r>
      <w:r w:rsidR="001B3284" w:rsidRPr="00A17D9B">
        <w:rPr>
          <w:rFonts w:ascii="Garamond" w:hAnsi="Garamond"/>
          <w:lang w:val="en-GB"/>
        </w:rPr>
        <w:t xml:space="preserve"> social dynamics</w:t>
      </w:r>
      <w:r w:rsidR="008B3F79" w:rsidRPr="00A17D9B">
        <w:rPr>
          <w:rFonts w:ascii="Garamond" w:hAnsi="Garamond"/>
          <w:lang w:val="en-GB"/>
        </w:rPr>
        <w:t>). This is not surprising, since</w:t>
      </w:r>
      <w:r w:rsidR="001B3284" w:rsidRPr="00A17D9B">
        <w:rPr>
          <w:rFonts w:ascii="Garamond" w:hAnsi="Garamond"/>
          <w:lang w:val="en-GB"/>
        </w:rPr>
        <w:t xml:space="preserve"> viole</w:t>
      </w:r>
      <w:r w:rsidR="008B3F79" w:rsidRPr="00A17D9B">
        <w:rPr>
          <w:rFonts w:ascii="Garamond" w:hAnsi="Garamond"/>
          <w:lang w:val="en-GB"/>
        </w:rPr>
        <w:t>nce, impunity and criminality are</w:t>
      </w:r>
      <w:r w:rsidR="001B3284" w:rsidRPr="00A17D9B">
        <w:rPr>
          <w:rFonts w:ascii="Garamond" w:hAnsi="Garamond"/>
          <w:lang w:val="en-GB"/>
        </w:rPr>
        <w:t xml:space="preserve"> rife in the region. What is interesting</w:t>
      </w:r>
      <w:r w:rsidR="008B3F79" w:rsidRPr="00A17D9B">
        <w:rPr>
          <w:rFonts w:ascii="Garamond" w:hAnsi="Garamond"/>
          <w:lang w:val="en-GB"/>
        </w:rPr>
        <w:t>;</w:t>
      </w:r>
      <w:r w:rsidR="001B3284" w:rsidRPr="00A17D9B">
        <w:rPr>
          <w:rFonts w:ascii="Garamond" w:hAnsi="Garamond"/>
          <w:lang w:val="en-GB"/>
        </w:rPr>
        <w:t xml:space="preserve"> however, is that the reading refers to a </w:t>
      </w:r>
      <w:r w:rsidR="005E206B" w:rsidRPr="00A17D9B">
        <w:rPr>
          <w:rFonts w:ascii="Garamond" w:hAnsi="Garamond"/>
          <w:lang w:val="en-GB"/>
        </w:rPr>
        <w:t>‘</w:t>
      </w:r>
      <w:r w:rsidR="001B3284" w:rsidRPr="00A17D9B">
        <w:rPr>
          <w:rFonts w:ascii="Garamond" w:hAnsi="Garamond"/>
          <w:lang w:val="en-GB"/>
        </w:rPr>
        <w:t>standard expectation of behaviour</w:t>
      </w:r>
      <w:r w:rsidR="005E206B" w:rsidRPr="00A17D9B">
        <w:rPr>
          <w:rFonts w:ascii="Garamond" w:hAnsi="Garamond"/>
          <w:lang w:val="en-GB"/>
        </w:rPr>
        <w:t>’</w:t>
      </w:r>
      <w:r w:rsidR="008B3F79" w:rsidRPr="00A17D9B">
        <w:rPr>
          <w:rFonts w:ascii="Garamond" w:hAnsi="Garamond"/>
          <w:lang w:val="en-GB"/>
        </w:rPr>
        <w:t xml:space="preserve">, meaning </w:t>
      </w:r>
      <w:r w:rsidR="001B3284" w:rsidRPr="00A17D9B">
        <w:rPr>
          <w:rFonts w:ascii="Garamond" w:hAnsi="Garamond"/>
          <w:lang w:val="en-GB"/>
        </w:rPr>
        <w:t xml:space="preserve">that people have internalized violence as a new social </w:t>
      </w:r>
      <w:r w:rsidR="005E206B" w:rsidRPr="00A17D9B">
        <w:rPr>
          <w:rFonts w:ascii="Garamond" w:hAnsi="Garamond"/>
          <w:lang w:val="en-GB"/>
        </w:rPr>
        <w:t xml:space="preserve">norm </w:t>
      </w:r>
      <w:r w:rsidR="001B3284" w:rsidRPr="00A17D9B">
        <w:rPr>
          <w:rFonts w:ascii="Garamond" w:hAnsi="Garamond"/>
          <w:lang w:val="en-GB"/>
        </w:rPr>
        <w:t xml:space="preserve">and behave accordingly. This is in sharp contrast with the </w:t>
      </w:r>
      <w:r w:rsidR="005E206B" w:rsidRPr="00A17D9B">
        <w:rPr>
          <w:rFonts w:ascii="Garamond" w:hAnsi="Garamond"/>
          <w:lang w:val="en-GB"/>
        </w:rPr>
        <w:t xml:space="preserve">2.5 reading for </w:t>
      </w:r>
      <w:r w:rsidR="001B3284" w:rsidRPr="00A17D9B">
        <w:rPr>
          <w:rFonts w:ascii="Garamond" w:hAnsi="Garamond"/>
          <w:lang w:val="en-GB"/>
        </w:rPr>
        <w:t xml:space="preserve">‘rule of law’. </w:t>
      </w:r>
      <w:r w:rsidR="005E206B" w:rsidRPr="00A17D9B">
        <w:rPr>
          <w:rFonts w:ascii="Garamond" w:hAnsi="Garamond"/>
          <w:lang w:val="en-GB"/>
        </w:rPr>
        <w:t>It seems that the R</w:t>
      </w:r>
      <w:r w:rsidR="001B3284" w:rsidRPr="00A17D9B">
        <w:rPr>
          <w:rFonts w:ascii="Garamond" w:hAnsi="Garamond"/>
          <w:lang w:val="en-GB"/>
        </w:rPr>
        <w:t xml:space="preserve">ule of law </w:t>
      </w:r>
      <w:r w:rsidR="005E206B" w:rsidRPr="00A17D9B">
        <w:rPr>
          <w:rFonts w:ascii="Garamond" w:hAnsi="Garamond"/>
          <w:i/>
          <w:iCs/>
          <w:lang w:val="en-GB"/>
        </w:rPr>
        <w:t xml:space="preserve">can coexist </w:t>
      </w:r>
      <w:r w:rsidR="00F4745F" w:rsidRPr="00A17D9B">
        <w:rPr>
          <w:rFonts w:ascii="Garamond" w:hAnsi="Garamond"/>
          <w:lang w:val="en-GB"/>
        </w:rPr>
        <w:t>with a lack of p</w:t>
      </w:r>
      <w:r w:rsidR="004B23A9" w:rsidRPr="00A17D9B">
        <w:rPr>
          <w:rFonts w:ascii="Garamond" w:hAnsi="Garamond"/>
          <w:lang w:val="en-GB"/>
        </w:rPr>
        <w:t xml:space="preserve">eace and </w:t>
      </w:r>
      <w:r w:rsidR="00F4745F" w:rsidRPr="00A17D9B">
        <w:rPr>
          <w:rFonts w:ascii="Garamond" w:hAnsi="Garamond"/>
          <w:lang w:val="en-GB"/>
        </w:rPr>
        <w:t>c</w:t>
      </w:r>
      <w:r w:rsidR="004B23A9" w:rsidRPr="00A17D9B">
        <w:rPr>
          <w:rFonts w:ascii="Garamond" w:hAnsi="Garamond"/>
          <w:lang w:val="en-GB"/>
        </w:rPr>
        <w:t xml:space="preserve">oncord </w:t>
      </w:r>
      <w:r w:rsidR="005E206B" w:rsidRPr="00A17D9B">
        <w:rPr>
          <w:rFonts w:ascii="Garamond" w:hAnsi="Garamond"/>
          <w:lang w:val="en-GB"/>
        </w:rPr>
        <w:t>in Ocotepec</w:t>
      </w:r>
      <w:r w:rsidR="001B3284" w:rsidRPr="00A17D9B">
        <w:rPr>
          <w:rFonts w:ascii="Garamond" w:hAnsi="Garamond"/>
          <w:lang w:val="en-GB"/>
        </w:rPr>
        <w:t>.</w:t>
      </w:r>
      <w:r w:rsidR="004B23A9" w:rsidRPr="00A17D9B">
        <w:rPr>
          <w:rFonts w:ascii="Garamond" w:hAnsi="Garamond"/>
          <w:lang w:val="en-GB"/>
        </w:rPr>
        <w:t xml:space="preserve"> This paradoxical result is in itsel</w:t>
      </w:r>
      <w:r w:rsidR="00F4745F" w:rsidRPr="00A17D9B">
        <w:rPr>
          <w:rFonts w:ascii="Garamond" w:hAnsi="Garamond"/>
          <w:lang w:val="en-GB"/>
        </w:rPr>
        <w:t xml:space="preserve">f interesting and points at </w:t>
      </w:r>
      <w:r w:rsidR="004B23A9" w:rsidRPr="00A17D9B">
        <w:rPr>
          <w:rFonts w:ascii="Garamond" w:hAnsi="Garamond"/>
          <w:lang w:val="en-GB"/>
        </w:rPr>
        <w:t xml:space="preserve">the complexity of the endemic social violence in Mexican communities. </w:t>
      </w:r>
    </w:p>
    <w:p w14:paraId="160A8E0A" w14:textId="035E8966" w:rsidR="004B23A9" w:rsidRPr="00A17D9B" w:rsidRDefault="004B23A9" w:rsidP="00134FDE">
      <w:pPr>
        <w:pStyle w:val="NormalWeb"/>
        <w:spacing w:before="120" w:beforeAutospacing="0" w:after="0" w:afterAutospacing="0" w:line="320" w:lineRule="atLeast"/>
        <w:jc w:val="both"/>
        <w:textAlignment w:val="baseline"/>
        <w:rPr>
          <w:rFonts w:ascii="Garamond" w:hAnsi="Garamond"/>
          <w:lang w:val="en-GB"/>
        </w:rPr>
      </w:pPr>
      <w:r w:rsidRPr="00A17D9B">
        <w:rPr>
          <w:rFonts w:ascii="Garamond" w:hAnsi="Garamond"/>
          <w:lang w:val="en-GB"/>
        </w:rPr>
        <w:t>A second</w:t>
      </w:r>
      <w:r w:rsidR="00F4745F" w:rsidRPr="00A17D9B">
        <w:rPr>
          <w:rFonts w:ascii="Garamond" w:hAnsi="Garamond"/>
          <w:lang w:val="en-GB"/>
        </w:rPr>
        <w:t xml:space="preserve"> piece of</w:t>
      </w:r>
      <w:r w:rsidRPr="00A17D9B">
        <w:rPr>
          <w:rFonts w:ascii="Garamond" w:hAnsi="Garamond"/>
          <w:lang w:val="en-GB"/>
        </w:rPr>
        <w:t xml:space="preserve"> information immediately accessible </w:t>
      </w:r>
      <w:r w:rsidR="005E206B" w:rsidRPr="00A17D9B">
        <w:rPr>
          <w:rFonts w:ascii="Garamond" w:hAnsi="Garamond"/>
          <w:lang w:val="en-GB"/>
        </w:rPr>
        <w:t>at</w:t>
      </w:r>
      <w:r w:rsidR="00F4745F" w:rsidRPr="00A17D9B">
        <w:rPr>
          <w:rFonts w:ascii="Garamond" w:hAnsi="Garamond"/>
          <w:lang w:val="en-GB"/>
        </w:rPr>
        <w:t xml:space="preserve"> the</w:t>
      </w:r>
      <w:r w:rsidR="005E206B" w:rsidRPr="00A17D9B">
        <w:rPr>
          <w:rFonts w:ascii="Garamond" w:hAnsi="Garamond"/>
          <w:lang w:val="en-GB"/>
        </w:rPr>
        <w:t xml:space="preserve"> systemic level </w:t>
      </w:r>
      <w:r w:rsidRPr="00A17D9B">
        <w:rPr>
          <w:rFonts w:ascii="Garamond" w:hAnsi="Garamond"/>
          <w:lang w:val="en-GB"/>
        </w:rPr>
        <w:t>is that the thr</w:t>
      </w:r>
      <w:r w:rsidR="00F4745F" w:rsidRPr="00A17D9B">
        <w:rPr>
          <w:rFonts w:ascii="Garamond" w:hAnsi="Garamond"/>
          <w:lang w:val="en-GB"/>
        </w:rPr>
        <w:t>ee instrumental key drivers of justice (2.7), stability (2.9) and g</w:t>
      </w:r>
      <w:r w:rsidRPr="00A17D9B">
        <w:rPr>
          <w:rFonts w:ascii="Garamond" w:hAnsi="Garamond"/>
          <w:lang w:val="en-GB"/>
        </w:rPr>
        <w:t xml:space="preserve">overnance (3.2) are substantially lower than the scores obtained for the </w:t>
      </w:r>
      <w:r w:rsidR="005E206B" w:rsidRPr="00A17D9B">
        <w:rPr>
          <w:rFonts w:ascii="Garamond" w:hAnsi="Garamond"/>
          <w:lang w:val="en-GB"/>
        </w:rPr>
        <w:t>‘</w:t>
      </w:r>
      <w:r w:rsidRPr="00A17D9B">
        <w:rPr>
          <w:rFonts w:ascii="Garamond" w:hAnsi="Garamond"/>
          <w:lang w:val="en-GB"/>
        </w:rPr>
        <w:t>Basic Common Goods</w:t>
      </w:r>
      <w:r w:rsidR="005E206B" w:rsidRPr="00A17D9B">
        <w:rPr>
          <w:rFonts w:ascii="Garamond" w:hAnsi="Garamond"/>
          <w:lang w:val="en-GB"/>
        </w:rPr>
        <w:t>’</w:t>
      </w:r>
      <w:r w:rsidRPr="00A17D9B">
        <w:rPr>
          <w:rFonts w:ascii="Garamond" w:hAnsi="Garamond"/>
          <w:lang w:val="en-GB"/>
        </w:rPr>
        <w:t xml:space="preserve"> (to the </w:t>
      </w:r>
      <w:r w:rsidR="00CD39DD" w:rsidRPr="00A17D9B">
        <w:rPr>
          <w:rFonts w:ascii="Garamond" w:hAnsi="Garamond"/>
          <w:lang w:val="en-GB"/>
        </w:rPr>
        <w:t>exception</w:t>
      </w:r>
      <w:r w:rsidRPr="00A17D9B">
        <w:rPr>
          <w:rFonts w:ascii="Garamond" w:hAnsi="Garamond"/>
          <w:lang w:val="en-GB"/>
        </w:rPr>
        <w:t xml:space="preserve"> </w:t>
      </w:r>
      <w:r w:rsidR="00CD39DD" w:rsidRPr="00A17D9B">
        <w:rPr>
          <w:rFonts w:ascii="Garamond" w:hAnsi="Garamond"/>
          <w:lang w:val="en-GB"/>
        </w:rPr>
        <w:t xml:space="preserve">of </w:t>
      </w:r>
      <w:r w:rsidR="005E206B" w:rsidRPr="00A17D9B">
        <w:rPr>
          <w:rFonts w:ascii="Garamond" w:hAnsi="Garamond"/>
          <w:lang w:val="en-GB"/>
        </w:rPr>
        <w:t>R</w:t>
      </w:r>
      <w:r w:rsidR="00F4745F" w:rsidRPr="00A17D9B">
        <w:rPr>
          <w:rFonts w:ascii="Garamond" w:hAnsi="Garamond"/>
          <w:lang w:val="en-GB"/>
        </w:rPr>
        <w:t>ule of law 2.5). Since</w:t>
      </w:r>
      <w:r w:rsidR="00CD39DD" w:rsidRPr="00A17D9B">
        <w:rPr>
          <w:rFonts w:ascii="Garamond" w:hAnsi="Garamond"/>
          <w:lang w:val="en-GB"/>
        </w:rPr>
        <w:t xml:space="preserve"> </w:t>
      </w:r>
      <w:r w:rsidR="00A0229A" w:rsidRPr="00A17D9B">
        <w:rPr>
          <w:rFonts w:ascii="Garamond" w:hAnsi="Garamond"/>
          <w:lang w:val="en-GB"/>
        </w:rPr>
        <w:t xml:space="preserve">each of these </w:t>
      </w:r>
      <w:r w:rsidR="00F4745F" w:rsidRPr="00A17D9B">
        <w:rPr>
          <w:rFonts w:ascii="Garamond" w:hAnsi="Garamond"/>
          <w:lang w:val="en-GB"/>
        </w:rPr>
        <w:t>three key</w:t>
      </w:r>
      <w:r w:rsidR="00CD39DD" w:rsidRPr="00A17D9B">
        <w:rPr>
          <w:rFonts w:ascii="Garamond" w:hAnsi="Garamond"/>
          <w:lang w:val="en-GB"/>
        </w:rPr>
        <w:t xml:space="preserve"> drivers</w:t>
      </w:r>
      <w:r w:rsidR="009E6CC6" w:rsidRPr="00A17D9B">
        <w:rPr>
          <w:rFonts w:ascii="Garamond" w:hAnsi="Garamond"/>
          <w:lang w:val="en-GB"/>
        </w:rPr>
        <w:t>’</w:t>
      </w:r>
      <w:r w:rsidR="00CD39DD" w:rsidRPr="00A17D9B">
        <w:rPr>
          <w:rFonts w:ascii="Garamond" w:hAnsi="Garamond"/>
          <w:lang w:val="en-GB"/>
        </w:rPr>
        <w:t xml:space="preserve"> indicators </w:t>
      </w:r>
      <w:r w:rsidR="00A0229A" w:rsidRPr="00A17D9B">
        <w:rPr>
          <w:rFonts w:ascii="Garamond" w:hAnsi="Garamond"/>
          <w:lang w:val="en-GB"/>
        </w:rPr>
        <w:t xml:space="preserve">is partly </w:t>
      </w:r>
      <w:r w:rsidR="00CD39DD" w:rsidRPr="00A17D9B">
        <w:rPr>
          <w:rFonts w:ascii="Garamond" w:hAnsi="Garamond"/>
          <w:lang w:val="en-GB"/>
        </w:rPr>
        <w:t>built on the distribution, governance and stability of the basic common goods, we must conclude that the lower reading</w:t>
      </w:r>
      <w:r w:rsidR="00134FDE" w:rsidRPr="00A17D9B">
        <w:rPr>
          <w:rFonts w:ascii="Garamond" w:hAnsi="Garamond"/>
          <w:lang w:val="en-GB"/>
        </w:rPr>
        <w:t>s</w:t>
      </w:r>
      <w:r w:rsidR="00CD39DD" w:rsidRPr="00A17D9B">
        <w:rPr>
          <w:rFonts w:ascii="Garamond" w:hAnsi="Garamond"/>
          <w:lang w:val="en-GB"/>
        </w:rPr>
        <w:t xml:space="preserve"> </w:t>
      </w:r>
      <w:proofErr w:type="gramStart"/>
      <w:r w:rsidR="00CD39DD" w:rsidRPr="00A17D9B">
        <w:rPr>
          <w:rFonts w:ascii="Garamond" w:hAnsi="Garamond"/>
          <w:lang w:val="en-GB"/>
        </w:rPr>
        <w:t>refer</w:t>
      </w:r>
      <w:r w:rsidR="00A0229A" w:rsidRPr="00A17D9B">
        <w:rPr>
          <w:rFonts w:ascii="Garamond" w:hAnsi="Garamond"/>
          <w:lang w:val="en-GB"/>
        </w:rPr>
        <w:t>s</w:t>
      </w:r>
      <w:proofErr w:type="gramEnd"/>
      <w:r w:rsidR="00CD39DD" w:rsidRPr="00A17D9B">
        <w:rPr>
          <w:rFonts w:ascii="Garamond" w:hAnsi="Garamond"/>
          <w:lang w:val="en-GB"/>
        </w:rPr>
        <w:t xml:space="preserve"> to </w:t>
      </w:r>
      <w:r w:rsidR="00A0229A" w:rsidRPr="00A17D9B">
        <w:rPr>
          <w:rFonts w:ascii="Garamond" w:hAnsi="Garamond"/>
          <w:lang w:val="en-GB"/>
        </w:rPr>
        <w:t xml:space="preserve">the way they are coordinated to each other </w:t>
      </w:r>
      <w:r w:rsidR="00CD39DD" w:rsidRPr="00A17D9B">
        <w:rPr>
          <w:rFonts w:ascii="Garamond" w:hAnsi="Garamond"/>
          <w:lang w:val="en-GB"/>
        </w:rPr>
        <w:t xml:space="preserve">(which make up the other part of </w:t>
      </w:r>
      <w:r w:rsidR="00134FDE" w:rsidRPr="00A17D9B">
        <w:rPr>
          <w:rFonts w:ascii="Garamond" w:hAnsi="Garamond"/>
          <w:lang w:val="en-GB"/>
        </w:rPr>
        <w:t>each</w:t>
      </w:r>
      <w:r w:rsidR="00CD39DD" w:rsidRPr="00A17D9B">
        <w:rPr>
          <w:rFonts w:ascii="Garamond" w:hAnsi="Garamond"/>
          <w:lang w:val="en-GB"/>
        </w:rPr>
        <w:t xml:space="preserve"> key driver indicators). In plain English, the </w:t>
      </w:r>
      <w:r w:rsidR="00CD39DD" w:rsidRPr="00A17D9B">
        <w:rPr>
          <w:rFonts w:ascii="Garamond" w:hAnsi="Garamond"/>
          <w:i/>
          <w:iCs/>
          <w:lang w:val="en-GB"/>
        </w:rPr>
        <w:t>systemic integration</w:t>
      </w:r>
      <w:r w:rsidR="00CD39DD" w:rsidRPr="00A17D9B">
        <w:rPr>
          <w:rFonts w:ascii="Garamond" w:hAnsi="Garamond"/>
          <w:lang w:val="en-GB"/>
        </w:rPr>
        <w:t xml:space="preserve"> of each of these key drivers is problematic and affect</w:t>
      </w:r>
      <w:r w:rsidR="009E6CC6" w:rsidRPr="00A17D9B">
        <w:rPr>
          <w:rFonts w:ascii="Garamond" w:hAnsi="Garamond"/>
          <w:lang w:val="en-GB"/>
        </w:rPr>
        <w:t>s</w:t>
      </w:r>
      <w:r w:rsidR="00CD39DD" w:rsidRPr="00A17D9B">
        <w:rPr>
          <w:rFonts w:ascii="Garamond" w:hAnsi="Garamond"/>
          <w:lang w:val="en-GB"/>
        </w:rPr>
        <w:t xml:space="preserve"> the overall CGD. Rather than the procurement of basic common goods, it seems that </w:t>
      </w:r>
      <w:r w:rsidR="00CD39DD" w:rsidRPr="00A17D9B">
        <w:rPr>
          <w:rFonts w:ascii="Garamond" w:hAnsi="Garamond"/>
          <w:lang w:val="en-GB"/>
        </w:rPr>
        <w:lastRenderedPageBreak/>
        <w:t xml:space="preserve">the difficulty is to </w:t>
      </w:r>
      <w:r w:rsidR="0073721D" w:rsidRPr="00A17D9B">
        <w:rPr>
          <w:rFonts w:ascii="Garamond" w:hAnsi="Garamond"/>
          <w:lang w:val="en-GB"/>
        </w:rPr>
        <w:t xml:space="preserve">reach </w:t>
      </w:r>
      <w:r w:rsidR="00DA31AD" w:rsidRPr="00A17D9B">
        <w:rPr>
          <w:rFonts w:ascii="Garamond" w:hAnsi="Garamond"/>
          <w:lang w:val="en-GB"/>
        </w:rPr>
        <w:t>them</w:t>
      </w:r>
      <w:r w:rsidR="00DA31AD" w:rsidRPr="00A17D9B">
        <w:rPr>
          <w:rFonts w:ascii="Garamond" w:hAnsi="Garamond"/>
          <w:i/>
          <w:iCs/>
          <w:lang w:val="en-GB"/>
        </w:rPr>
        <w:t xml:space="preserve"> together</w:t>
      </w:r>
      <w:r w:rsidR="0073721D" w:rsidRPr="00A17D9B">
        <w:rPr>
          <w:rFonts w:ascii="Garamond" w:hAnsi="Garamond"/>
          <w:lang w:val="en-GB"/>
        </w:rPr>
        <w:t xml:space="preserve">. </w:t>
      </w:r>
      <w:r w:rsidR="00134FDE" w:rsidRPr="00A17D9B">
        <w:rPr>
          <w:rFonts w:ascii="Garamond" w:hAnsi="Garamond"/>
          <w:lang w:val="en-GB"/>
        </w:rPr>
        <w:t xml:space="preserve">To merely focus on each basic common good may thus </w:t>
      </w:r>
      <w:r w:rsidR="00F4745F" w:rsidRPr="00A17D9B">
        <w:rPr>
          <w:rFonts w:ascii="Garamond" w:hAnsi="Garamond"/>
          <w:lang w:val="en-GB"/>
        </w:rPr>
        <w:t>actually hide</w:t>
      </w:r>
      <w:r w:rsidR="00134FDE" w:rsidRPr="00A17D9B">
        <w:rPr>
          <w:rFonts w:ascii="Garamond" w:hAnsi="Garamond"/>
          <w:lang w:val="en-GB"/>
        </w:rPr>
        <w:t xml:space="preserve"> the fact that their procurement does not build up a positive system (virtuous circle). </w:t>
      </w:r>
      <w:r w:rsidR="0073721D" w:rsidRPr="00A17D9B">
        <w:rPr>
          <w:rFonts w:ascii="Garamond" w:hAnsi="Garamond"/>
          <w:lang w:val="en-GB"/>
        </w:rPr>
        <w:t xml:space="preserve">Moreover, the gap between the scores of </w:t>
      </w:r>
      <w:proofErr w:type="gramStart"/>
      <w:r w:rsidR="0073721D" w:rsidRPr="00A17D9B">
        <w:rPr>
          <w:rFonts w:ascii="Garamond" w:hAnsi="Garamond"/>
          <w:lang w:val="en-GB"/>
        </w:rPr>
        <w:t>Humanity</w:t>
      </w:r>
      <w:proofErr w:type="gramEnd"/>
      <w:r w:rsidR="0073721D" w:rsidRPr="00A17D9B">
        <w:rPr>
          <w:rFonts w:ascii="Garamond" w:hAnsi="Garamond"/>
          <w:lang w:val="en-GB"/>
        </w:rPr>
        <w:t xml:space="preserve"> (mean 1.8) and those of Basic Common Goods (</w:t>
      </w:r>
      <w:r w:rsidR="00DA31AD" w:rsidRPr="00A17D9B">
        <w:rPr>
          <w:rFonts w:ascii="Garamond" w:hAnsi="Garamond"/>
          <w:lang w:val="en-GB"/>
        </w:rPr>
        <w:t xml:space="preserve">mean 3.45) clearly shows that a </w:t>
      </w:r>
      <w:r w:rsidR="00F4745F" w:rsidRPr="00A17D9B">
        <w:rPr>
          <w:rFonts w:ascii="Garamond" w:hAnsi="Garamond"/>
          <w:lang w:val="en-GB"/>
        </w:rPr>
        <w:t>good result</w:t>
      </w:r>
      <w:r w:rsidR="002919FF" w:rsidRPr="00A17D9B">
        <w:rPr>
          <w:rFonts w:ascii="Garamond" w:hAnsi="Garamond"/>
          <w:lang w:val="en-GB"/>
        </w:rPr>
        <w:t xml:space="preserve"> </w:t>
      </w:r>
      <w:r w:rsidR="00DA31AD" w:rsidRPr="00A17D9B">
        <w:rPr>
          <w:rFonts w:ascii="Garamond" w:hAnsi="Garamond"/>
          <w:lang w:val="en-GB"/>
        </w:rPr>
        <w:t>on basic features of development doe</w:t>
      </w:r>
      <w:r w:rsidR="00F4745F" w:rsidRPr="00A17D9B">
        <w:rPr>
          <w:rFonts w:ascii="Garamond" w:hAnsi="Garamond"/>
          <w:lang w:val="en-GB"/>
        </w:rPr>
        <w:t>s not automatically translate into</w:t>
      </w:r>
      <w:r w:rsidR="00DA31AD" w:rsidRPr="00A17D9B">
        <w:rPr>
          <w:rFonts w:ascii="Garamond" w:hAnsi="Garamond"/>
          <w:lang w:val="en-GB"/>
        </w:rPr>
        <w:t xml:space="preserve"> a higher score of</w:t>
      </w:r>
      <w:r w:rsidR="00F4745F" w:rsidRPr="00A17D9B">
        <w:rPr>
          <w:rFonts w:ascii="Garamond" w:hAnsi="Garamond"/>
          <w:lang w:val="en-GB"/>
        </w:rPr>
        <w:t xml:space="preserve"> the</w:t>
      </w:r>
      <w:r w:rsidR="00DA31AD" w:rsidRPr="00A17D9B">
        <w:rPr>
          <w:rFonts w:ascii="Garamond" w:hAnsi="Garamond"/>
          <w:lang w:val="en-GB"/>
        </w:rPr>
        <w:t xml:space="preserve"> </w:t>
      </w:r>
      <w:r w:rsidR="002919FF" w:rsidRPr="00A17D9B">
        <w:rPr>
          <w:rFonts w:ascii="Garamond" w:hAnsi="Garamond"/>
          <w:lang w:val="en-GB"/>
        </w:rPr>
        <w:t xml:space="preserve">way people behave in a society. Again, this gap points to the complexity of development processes and </w:t>
      </w:r>
      <w:r w:rsidR="00134FDE" w:rsidRPr="00A17D9B">
        <w:rPr>
          <w:rFonts w:ascii="Garamond" w:hAnsi="Garamond"/>
          <w:lang w:val="en-GB"/>
        </w:rPr>
        <w:t xml:space="preserve">to </w:t>
      </w:r>
      <w:r w:rsidR="002919FF" w:rsidRPr="00A17D9B">
        <w:rPr>
          <w:rFonts w:ascii="Garamond" w:hAnsi="Garamond"/>
          <w:lang w:val="en-GB"/>
        </w:rPr>
        <w:t xml:space="preserve">the unresolved question of the behavioural changes needed to reach sustainable development. </w:t>
      </w:r>
    </w:p>
    <w:p w14:paraId="0BAD1EFC" w14:textId="76DFCE61" w:rsidR="0073721D" w:rsidRPr="00A17D9B" w:rsidRDefault="002919FF" w:rsidP="007623CF">
      <w:pPr>
        <w:pStyle w:val="Subttulo"/>
        <w:spacing w:before="120" w:after="0"/>
        <w:jc w:val="right"/>
        <w:rPr>
          <w:lang w:val="en-GB"/>
        </w:rPr>
      </w:pPr>
      <w:r w:rsidRPr="00A17D9B">
        <w:rPr>
          <w:lang w:val="en-GB"/>
        </w:rPr>
        <w:t xml:space="preserve">At the </w:t>
      </w:r>
      <w:r w:rsidR="00F4745F" w:rsidRPr="00A17D9B">
        <w:rPr>
          <w:lang w:val="en-GB"/>
        </w:rPr>
        <w:t>L</w:t>
      </w:r>
      <w:r w:rsidR="0088783F" w:rsidRPr="00A17D9B">
        <w:rPr>
          <w:lang w:val="en-GB"/>
        </w:rPr>
        <w:t xml:space="preserve">evel </w:t>
      </w:r>
      <w:r w:rsidR="00F4745F" w:rsidRPr="00A17D9B">
        <w:rPr>
          <w:lang w:val="en-GB"/>
        </w:rPr>
        <w:t>of Each Key D</w:t>
      </w:r>
      <w:r w:rsidRPr="00A17D9B">
        <w:rPr>
          <w:lang w:val="en-GB"/>
        </w:rPr>
        <w:t>river</w:t>
      </w:r>
      <w:r w:rsidR="0088783F" w:rsidRPr="00A17D9B">
        <w:rPr>
          <w:lang w:val="en-GB"/>
        </w:rPr>
        <w:t>s</w:t>
      </w:r>
      <w:r w:rsidRPr="00A17D9B">
        <w:rPr>
          <w:lang w:val="en-GB"/>
        </w:rPr>
        <w:t xml:space="preserve"> of CGD</w:t>
      </w:r>
    </w:p>
    <w:p w14:paraId="0671C679" w14:textId="77F3BC0E" w:rsidR="0088783F" w:rsidRPr="00A17D9B" w:rsidRDefault="00DC6E25" w:rsidP="00134FDE">
      <w:pPr>
        <w:spacing w:before="120" w:after="0" w:line="320" w:lineRule="atLeast"/>
        <w:jc w:val="both"/>
        <w:rPr>
          <w:rFonts w:ascii="Garamond" w:hAnsi="Garamond"/>
          <w:sz w:val="24"/>
          <w:szCs w:val="24"/>
          <w:lang w:val="en-GB"/>
        </w:rPr>
      </w:pPr>
      <w:r w:rsidRPr="00A17D9B">
        <w:rPr>
          <w:rFonts w:ascii="Garamond" w:hAnsi="Garamond"/>
          <w:sz w:val="24"/>
          <w:szCs w:val="24"/>
          <w:lang w:val="en-GB"/>
        </w:rPr>
        <w:t xml:space="preserve">Another piece </w:t>
      </w:r>
      <w:r w:rsidR="002919FF" w:rsidRPr="00A17D9B">
        <w:rPr>
          <w:rFonts w:ascii="Garamond" w:hAnsi="Garamond"/>
          <w:sz w:val="24"/>
          <w:szCs w:val="24"/>
          <w:lang w:val="en-GB"/>
        </w:rPr>
        <w:t>of valuable information provi</w:t>
      </w:r>
      <w:r w:rsidRPr="00A17D9B">
        <w:rPr>
          <w:rFonts w:ascii="Garamond" w:hAnsi="Garamond"/>
          <w:sz w:val="24"/>
          <w:szCs w:val="24"/>
          <w:lang w:val="en-GB"/>
        </w:rPr>
        <w:t>ded by the metric is identifying</w:t>
      </w:r>
      <w:r w:rsidR="002919FF" w:rsidRPr="00A17D9B">
        <w:rPr>
          <w:rFonts w:ascii="Garamond" w:hAnsi="Garamond"/>
          <w:sz w:val="24"/>
          <w:szCs w:val="24"/>
          <w:lang w:val="en-GB"/>
        </w:rPr>
        <w:t xml:space="preserve"> within each key driver some of the weakest features of this dimension. </w:t>
      </w:r>
      <w:r w:rsidR="0088783F" w:rsidRPr="00A17D9B">
        <w:rPr>
          <w:rFonts w:ascii="Garamond" w:hAnsi="Garamond"/>
          <w:sz w:val="24"/>
          <w:szCs w:val="24"/>
          <w:lang w:val="en-GB"/>
        </w:rPr>
        <w:t>It may help pinpoint very specific problems that hinder this dimension. Indeed, as we think here of a development process, one or several bottleneck</w:t>
      </w:r>
      <w:r w:rsidRPr="00A17D9B">
        <w:rPr>
          <w:rFonts w:ascii="Garamond" w:hAnsi="Garamond"/>
          <w:sz w:val="24"/>
          <w:szCs w:val="24"/>
          <w:lang w:val="en-GB"/>
        </w:rPr>
        <w:t>s</w:t>
      </w:r>
      <w:r w:rsidR="0088783F" w:rsidRPr="00A17D9B">
        <w:rPr>
          <w:rFonts w:ascii="Garamond" w:hAnsi="Garamond"/>
          <w:sz w:val="24"/>
          <w:szCs w:val="24"/>
          <w:lang w:val="en-GB"/>
        </w:rPr>
        <w:t xml:space="preserve"> may have a disproportionated effect on the whole dimension. The following case, taken again from our pilot probe</w:t>
      </w:r>
      <w:r w:rsidRPr="00A17D9B">
        <w:rPr>
          <w:rFonts w:ascii="Garamond" w:hAnsi="Garamond"/>
          <w:sz w:val="24"/>
          <w:szCs w:val="24"/>
          <w:lang w:val="en-GB"/>
        </w:rPr>
        <w:t>,</w:t>
      </w:r>
      <w:r w:rsidR="0088783F" w:rsidRPr="00A17D9B">
        <w:rPr>
          <w:rFonts w:ascii="Garamond" w:hAnsi="Garamond"/>
          <w:sz w:val="24"/>
          <w:szCs w:val="24"/>
          <w:lang w:val="en-GB"/>
        </w:rPr>
        <w:t xml:space="preserve"> illustrate</w:t>
      </w:r>
      <w:r w:rsidRPr="00A17D9B">
        <w:rPr>
          <w:rFonts w:ascii="Garamond" w:hAnsi="Garamond"/>
          <w:sz w:val="24"/>
          <w:szCs w:val="24"/>
          <w:lang w:val="en-GB"/>
        </w:rPr>
        <w:t>s</w:t>
      </w:r>
      <w:r w:rsidR="0088783F" w:rsidRPr="00A17D9B">
        <w:rPr>
          <w:rFonts w:ascii="Garamond" w:hAnsi="Garamond"/>
          <w:sz w:val="24"/>
          <w:szCs w:val="24"/>
          <w:lang w:val="en-GB"/>
        </w:rPr>
        <w:t xml:space="preserve"> this point.</w:t>
      </w:r>
    </w:p>
    <w:p w14:paraId="5C0C6B95" w14:textId="7FB116E0" w:rsidR="007623CF" w:rsidRPr="00A17D9B" w:rsidRDefault="00953731" w:rsidP="007623CF">
      <w:pPr>
        <w:spacing w:before="120" w:after="0" w:line="320" w:lineRule="atLeast"/>
        <w:jc w:val="right"/>
        <w:rPr>
          <w:rFonts w:ascii="Garamond" w:hAnsi="Garamond"/>
          <w:i/>
          <w:iCs/>
          <w:sz w:val="24"/>
          <w:szCs w:val="24"/>
          <w:lang w:val="en-GB"/>
        </w:rPr>
      </w:pPr>
      <w:r w:rsidRPr="00A17D9B">
        <w:rPr>
          <w:rFonts w:ascii="Garamond" w:hAnsi="Garamond"/>
          <w:i/>
          <w:iCs/>
          <w:sz w:val="24"/>
          <w:szCs w:val="24"/>
          <w:lang w:val="en-GB"/>
        </w:rPr>
        <w:t>Figure 4. Agency S</w:t>
      </w:r>
      <w:r w:rsidR="007623CF" w:rsidRPr="00A17D9B">
        <w:rPr>
          <w:rFonts w:ascii="Garamond" w:hAnsi="Garamond"/>
          <w:i/>
          <w:iCs/>
          <w:sz w:val="24"/>
          <w:szCs w:val="24"/>
          <w:lang w:val="en-GB"/>
        </w:rPr>
        <w:t>cores for Ocotepec</w:t>
      </w:r>
    </w:p>
    <w:p w14:paraId="7BD00B2E" w14:textId="2C577422" w:rsidR="00A70598" w:rsidRPr="00A17D9B" w:rsidRDefault="00A17D9B" w:rsidP="00134FDE">
      <w:pPr>
        <w:spacing w:before="120" w:after="0" w:line="320" w:lineRule="atLeast"/>
        <w:jc w:val="both"/>
        <w:rPr>
          <w:rFonts w:ascii="Garamond" w:hAnsi="Garamond"/>
          <w:sz w:val="24"/>
          <w:szCs w:val="24"/>
          <w:lang w:val="en-GB"/>
        </w:rPr>
      </w:pPr>
      <w:r w:rsidRPr="00A17D9B">
        <w:rPr>
          <w:noProof/>
        </w:rPr>
        <w:drawing>
          <wp:inline distT="0" distB="0" distL="0" distR="0" wp14:anchorId="320EFDD7" wp14:editId="23711F38">
            <wp:extent cx="5612130" cy="301244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3012440"/>
                    </a:xfrm>
                    <a:prstGeom prst="rect">
                      <a:avLst/>
                    </a:prstGeom>
                  </pic:spPr>
                </pic:pic>
              </a:graphicData>
            </a:graphic>
          </wp:inline>
        </w:drawing>
      </w:r>
      <w:r w:rsidR="0088783F" w:rsidRPr="00A17D9B">
        <w:rPr>
          <w:rFonts w:ascii="Garamond" w:hAnsi="Garamond"/>
          <w:sz w:val="24"/>
          <w:szCs w:val="24"/>
          <w:lang w:val="en-GB"/>
        </w:rPr>
        <w:t xml:space="preserve">While 10 of the 11 indicators are in positive territory, one clearly strikes out as negative, bearing down on the rest of the dimension (geometric means). </w:t>
      </w:r>
      <w:r w:rsidR="00A70598" w:rsidRPr="00A17D9B">
        <w:rPr>
          <w:rFonts w:ascii="Garamond" w:hAnsi="Garamond"/>
          <w:sz w:val="24"/>
          <w:szCs w:val="24"/>
          <w:lang w:val="en-GB"/>
        </w:rPr>
        <w:t>I</w:t>
      </w:r>
      <w:r w:rsidR="0088783F" w:rsidRPr="00A17D9B">
        <w:rPr>
          <w:rFonts w:ascii="Garamond" w:hAnsi="Garamond"/>
          <w:sz w:val="24"/>
          <w:szCs w:val="24"/>
          <w:lang w:val="en-GB"/>
        </w:rPr>
        <w:t xml:space="preserve">t is interesting to see that the </w:t>
      </w:r>
      <w:r w:rsidR="0088783F" w:rsidRPr="00A17D9B">
        <w:rPr>
          <w:rFonts w:ascii="Garamond" w:hAnsi="Garamond"/>
          <w:i/>
          <w:iCs/>
          <w:sz w:val="24"/>
          <w:szCs w:val="24"/>
          <w:lang w:val="en-GB"/>
        </w:rPr>
        <w:t>local bureaucracy</w:t>
      </w:r>
      <w:r w:rsidR="0088783F" w:rsidRPr="00A17D9B">
        <w:rPr>
          <w:rFonts w:ascii="Garamond" w:hAnsi="Garamond"/>
          <w:sz w:val="24"/>
          <w:szCs w:val="24"/>
          <w:lang w:val="en-GB"/>
        </w:rPr>
        <w:t xml:space="preserve"> is identified as </w:t>
      </w:r>
      <w:r w:rsidR="00A70598" w:rsidRPr="00A17D9B">
        <w:rPr>
          <w:rFonts w:ascii="Garamond" w:hAnsi="Garamond"/>
          <w:sz w:val="24"/>
          <w:szCs w:val="24"/>
          <w:lang w:val="en-GB"/>
        </w:rPr>
        <w:t xml:space="preserve">a major hurdle impeding the expression of ‘Collective Agency Freedom’. While not conclusive, as </w:t>
      </w:r>
      <w:r w:rsidR="00953731" w:rsidRPr="00A17D9B">
        <w:rPr>
          <w:rFonts w:ascii="Garamond" w:hAnsi="Garamond"/>
          <w:sz w:val="24"/>
          <w:szCs w:val="24"/>
          <w:lang w:val="en-GB"/>
        </w:rPr>
        <w:t>our data for the pilot probe is</w:t>
      </w:r>
      <w:r w:rsidR="00A70598" w:rsidRPr="00A17D9B">
        <w:rPr>
          <w:rFonts w:ascii="Garamond" w:hAnsi="Garamond"/>
          <w:sz w:val="24"/>
          <w:szCs w:val="24"/>
          <w:lang w:val="en-GB"/>
        </w:rPr>
        <w:t xml:space="preserve"> not strong enough, such disaggregated information may help identify the weakest element of development processes and strategically target interventions or development policies.</w:t>
      </w:r>
    </w:p>
    <w:p w14:paraId="71C2A4F5" w14:textId="19D5A333" w:rsidR="005E206B" w:rsidRPr="00A17D9B" w:rsidRDefault="00953731" w:rsidP="00134FDE">
      <w:pPr>
        <w:spacing w:before="120" w:after="0" w:line="320" w:lineRule="atLeast"/>
        <w:jc w:val="both"/>
        <w:rPr>
          <w:rFonts w:ascii="Garamond" w:hAnsi="Garamond"/>
          <w:sz w:val="24"/>
          <w:szCs w:val="24"/>
          <w:lang w:val="en-GB"/>
        </w:rPr>
      </w:pPr>
      <w:r w:rsidRPr="00A17D9B">
        <w:rPr>
          <w:rFonts w:ascii="Garamond" w:hAnsi="Garamond"/>
          <w:sz w:val="24"/>
          <w:szCs w:val="24"/>
          <w:lang w:val="en-GB"/>
        </w:rPr>
        <w:t>Another use for</w:t>
      </w:r>
      <w:r w:rsidR="00A70598" w:rsidRPr="00A17D9B">
        <w:rPr>
          <w:rFonts w:ascii="Garamond" w:hAnsi="Garamond"/>
          <w:sz w:val="24"/>
          <w:szCs w:val="24"/>
          <w:lang w:val="en-GB"/>
        </w:rPr>
        <w:t xml:space="preserve"> the information given by the metric</w:t>
      </w:r>
      <w:r w:rsidRPr="00A17D9B">
        <w:rPr>
          <w:rFonts w:ascii="Garamond" w:hAnsi="Garamond"/>
          <w:sz w:val="24"/>
          <w:szCs w:val="24"/>
          <w:lang w:val="en-GB"/>
        </w:rPr>
        <w:t>,</w:t>
      </w:r>
      <w:r w:rsidR="00A70598" w:rsidRPr="00A17D9B">
        <w:rPr>
          <w:rFonts w:ascii="Garamond" w:hAnsi="Garamond"/>
          <w:sz w:val="24"/>
          <w:szCs w:val="24"/>
          <w:lang w:val="en-GB"/>
        </w:rPr>
        <w:t xml:space="preserve"> is to identify </w:t>
      </w:r>
      <w:r w:rsidR="00A0229A" w:rsidRPr="00A17D9B">
        <w:rPr>
          <w:rFonts w:ascii="Garamond" w:hAnsi="Garamond"/>
          <w:sz w:val="24"/>
          <w:szCs w:val="24"/>
          <w:lang w:val="en-GB"/>
        </w:rPr>
        <w:t xml:space="preserve">eventual cluster of </w:t>
      </w:r>
      <w:r w:rsidR="00A70598" w:rsidRPr="00A17D9B">
        <w:rPr>
          <w:rFonts w:ascii="Garamond" w:hAnsi="Garamond"/>
          <w:sz w:val="24"/>
          <w:szCs w:val="24"/>
          <w:lang w:val="en-GB"/>
        </w:rPr>
        <w:t xml:space="preserve">social groups </w:t>
      </w:r>
      <w:r w:rsidR="00A0229A" w:rsidRPr="00A17D9B">
        <w:rPr>
          <w:rFonts w:ascii="Garamond" w:hAnsi="Garamond"/>
          <w:sz w:val="24"/>
          <w:szCs w:val="24"/>
          <w:lang w:val="en-GB"/>
        </w:rPr>
        <w:t xml:space="preserve">(cluster </w:t>
      </w:r>
      <w:r w:rsidR="00204F61" w:rsidRPr="00A17D9B">
        <w:rPr>
          <w:rFonts w:ascii="Garamond" w:hAnsi="Garamond"/>
          <w:sz w:val="24"/>
          <w:szCs w:val="24"/>
          <w:lang w:val="en-GB"/>
        </w:rPr>
        <w:t xml:space="preserve">by </w:t>
      </w:r>
      <w:r w:rsidR="00A0229A" w:rsidRPr="00A17D9B">
        <w:rPr>
          <w:rFonts w:ascii="Garamond" w:hAnsi="Garamond"/>
          <w:sz w:val="24"/>
          <w:szCs w:val="24"/>
          <w:lang w:val="en-GB"/>
        </w:rPr>
        <w:t>age, sex, profession, socio-economic position, geo</w:t>
      </w:r>
      <w:r w:rsidR="00204F61" w:rsidRPr="00A17D9B">
        <w:rPr>
          <w:rFonts w:ascii="Garamond" w:hAnsi="Garamond"/>
          <w:sz w:val="24"/>
          <w:szCs w:val="24"/>
          <w:lang w:val="en-GB"/>
        </w:rPr>
        <w:t>graphy</w:t>
      </w:r>
      <w:r w:rsidR="00A0229A" w:rsidRPr="00A17D9B">
        <w:rPr>
          <w:rFonts w:ascii="Garamond" w:hAnsi="Garamond"/>
          <w:sz w:val="24"/>
          <w:szCs w:val="24"/>
          <w:lang w:val="en-GB"/>
        </w:rPr>
        <w:t xml:space="preserve">) </w:t>
      </w:r>
      <w:r w:rsidR="00A70598" w:rsidRPr="00A17D9B">
        <w:rPr>
          <w:rFonts w:ascii="Garamond" w:hAnsi="Garamond"/>
          <w:sz w:val="24"/>
          <w:szCs w:val="24"/>
          <w:lang w:val="en-GB"/>
        </w:rPr>
        <w:t>that are in the position to tip over the social dynamic. The limits of the pilot prob</w:t>
      </w:r>
      <w:r w:rsidRPr="00A17D9B">
        <w:rPr>
          <w:rFonts w:ascii="Garamond" w:hAnsi="Garamond"/>
          <w:sz w:val="24"/>
          <w:szCs w:val="24"/>
          <w:lang w:val="en-GB"/>
        </w:rPr>
        <w:t xml:space="preserve">e </w:t>
      </w:r>
      <w:r w:rsidR="002C21EE" w:rsidRPr="00A17D9B">
        <w:rPr>
          <w:rFonts w:ascii="Garamond" w:hAnsi="Garamond"/>
          <w:sz w:val="24"/>
          <w:szCs w:val="24"/>
          <w:lang w:val="en-GB"/>
        </w:rPr>
        <w:t xml:space="preserve">did not allow for it, but </w:t>
      </w:r>
      <w:r w:rsidR="002C21EE" w:rsidRPr="00A17D9B">
        <w:rPr>
          <w:rFonts w:ascii="Garamond" w:hAnsi="Garamond"/>
          <w:sz w:val="24"/>
          <w:szCs w:val="24"/>
          <w:lang w:val="en-GB"/>
        </w:rPr>
        <w:lastRenderedPageBreak/>
        <w:t xml:space="preserve">potentially this may be the most relevant information provided by the metric. It may help design interventions or policies that pre-empt the sudden tipping over of an existing </w:t>
      </w:r>
      <w:r w:rsidR="002C21EE" w:rsidRPr="00A17D9B">
        <w:rPr>
          <w:rFonts w:ascii="Garamond" w:hAnsi="Garamond"/>
          <w:i/>
          <w:iCs/>
          <w:sz w:val="24"/>
          <w:szCs w:val="24"/>
          <w:lang w:val="en-GB"/>
        </w:rPr>
        <w:t>positive</w:t>
      </w:r>
      <w:r w:rsidR="002C21EE" w:rsidRPr="00A17D9B">
        <w:rPr>
          <w:rFonts w:ascii="Garamond" w:hAnsi="Garamond"/>
          <w:sz w:val="24"/>
          <w:szCs w:val="24"/>
          <w:lang w:val="en-GB"/>
        </w:rPr>
        <w:t xml:space="preserve"> social dynamic toward</w:t>
      </w:r>
      <w:r w:rsidRPr="00A17D9B">
        <w:rPr>
          <w:rFonts w:ascii="Garamond" w:hAnsi="Garamond"/>
          <w:sz w:val="24"/>
          <w:szCs w:val="24"/>
          <w:lang w:val="en-GB"/>
        </w:rPr>
        <w:t>s</w:t>
      </w:r>
      <w:r w:rsidR="002C21EE" w:rsidRPr="00A17D9B">
        <w:rPr>
          <w:rFonts w:ascii="Garamond" w:hAnsi="Garamond"/>
          <w:sz w:val="24"/>
          <w:szCs w:val="24"/>
          <w:lang w:val="en-GB"/>
        </w:rPr>
        <w:t xml:space="preserve"> a </w:t>
      </w:r>
      <w:r w:rsidR="002C21EE" w:rsidRPr="00A17D9B">
        <w:rPr>
          <w:rFonts w:ascii="Garamond" w:hAnsi="Garamond"/>
          <w:i/>
          <w:iCs/>
          <w:sz w:val="24"/>
          <w:szCs w:val="24"/>
          <w:lang w:val="en-GB"/>
        </w:rPr>
        <w:t>negative</w:t>
      </w:r>
      <w:r w:rsidR="002C21EE" w:rsidRPr="00A17D9B">
        <w:rPr>
          <w:rFonts w:ascii="Garamond" w:hAnsi="Garamond"/>
          <w:sz w:val="24"/>
          <w:szCs w:val="24"/>
          <w:lang w:val="en-GB"/>
        </w:rPr>
        <w:t xml:space="preserve"> one. This information is of crucial </w:t>
      </w:r>
      <w:r w:rsidR="00E271A1" w:rsidRPr="00A17D9B">
        <w:rPr>
          <w:rFonts w:ascii="Garamond" w:hAnsi="Garamond"/>
          <w:sz w:val="24"/>
          <w:szCs w:val="24"/>
          <w:lang w:val="en-GB"/>
        </w:rPr>
        <w:t xml:space="preserve">importance so as </w:t>
      </w:r>
      <w:r w:rsidR="002C21EE" w:rsidRPr="00A17D9B">
        <w:rPr>
          <w:rFonts w:ascii="Garamond" w:hAnsi="Garamond"/>
          <w:sz w:val="24"/>
          <w:szCs w:val="24"/>
          <w:lang w:val="en-GB"/>
        </w:rPr>
        <w:t xml:space="preserve">to appraise the time and effort needed </w:t>
      </w:r>
      <w:r w:rsidR="00134FDE" w:rsidRPr="00A17D9B">
        <w:rPr>
          <w:rFonts w:ascii="Garamond" w:hAnsi="Garamond"/>
          <w:sz w:val="24"/>
          <w:szCs w:val="24"/>
          <w:lang w:val="en-GB"/>
        </w:rPr>
        <w:t>to reach development goals</w:t>
      </w:r>
      <w:r w:rsidR="002C21EE" w:rsidRPr="00A17D9B">
        <w:rPr>
          <w:rFonts w:ascii="Garamond" w:hAnsi="Garamond"/>
          <w:sz w:val="24"/>
          <w:szCs w:val="24"/>
          <w:lang w:val="en-GB"/>
        </w:rPr>
        <w:t xml:space="preserve">. ‘Dominant negative social processes’ will be hard to dismantle and reverse while ‘Vulnerable positive social </w:t>
      </w:r>
      <w:r w:rsidR="00134FDE" w:rsidRPr="00A17D9B">
        <w:rPr>
          <w:rFonts w:ascii="Garamond" w:hAnsi="Garamond"/>
          <w:sz w:val="24"/>
          <w:szCs w:val="24"/>
          <w:lang w:val="en-GB"/>
        </w:rPr>
        <w:t>processes</w:t>
      </w:r>
      <w:r w:rsidR="002C21EE" w:rsidRPr="00A17D9B">
        <w:rPr>
          <w:rFonts w:ascii="Garamond" w:hAnsi="Garamond"/>
          <w:sz w:val="24"/>
          <w:szCs w:val="24"/>
          <w:lang w:val="en-GB"/>
        </w:rPr>
        <w:t xml:space="preserve"> may require much less effort</w:t>
      </w:r>
      <w:r w:rsidR="00134FDE" w:rsidRPr="00A17D9B">
        <w:rPr>
          <w:rFonts w:ascii="Garamond" w:hAnsi="Garamond"/>
          <w:sz w:val="24"/>
          <w:szCs w:val="24"/>
          <w:lang w:val="en-GB"/>
        </w:rPr>
        <w:t>s</w:t>
      </w:r>
      <w:r w:rsidR="002C21EE" w:rsidRPr="00A17D9B">
        <w:rPr>
          <w:rFonts w:ascii="Garamond" w:hAnsi="Garamond"/>
          <w:sz w:val="24"/>
          <w:szCs w:val="24"/>
          <w:lang w:val="en-GB"/>
        </w:rPr>
        <w:t xml:space="preserve"> to be stabilized. In other terms, the metric </w:t>
      </w:r>
      <w:r w:rsidR="00134FDE" w:rsidRPr="00A17D9B">
        <w:rPr>
          <w:rFonts w:ascii="Garamond" w:hAnsi="Garamond"/>
          <w:sz w:val="24"/>
          <w:szCs w:val="24"/>
          <w:lang w:val="en-GB"/>
        </w:rPr>
        <w:t>offers</w:t>
      </w:r>
      <w:r w:rsidR="00E271A1" w:rsidRPr="00A17D9B">
        <w:rPr>
          <w:rFonts w:ascii="Garamond" w:hAnsi="Garamond"/>
          <w:sz w:val="24"/>
          <w:szCs w:val="24"/>
          <w:lang w:val="en-GB"/>
        </w:rPr>
        <w:t xml:space="preserve">, </w:t>
      </w:r>
      <w:r w:rsidR="002C21EE" w:rsidRPr="00A17D9B">
        <w:rPr>
          <w:rFonts w:ascii="Garamond" w:hAnsi="Garamond"/>
          <w:sz w:val="24"/>
          <w:szCs w:val="24"/>
          <w:lang w:val="en-GB"/>
        </w:rPr>
        <w:t>to decision makers</w:t>
      </w:r>
      <w:r w:rsidR="00134FDE" w:rsidRPr="00A17D9B">
        <w:rPr>
          <w:rFonts w:ascii="Garamond" w:hAnsi="Garamond"/>
          <w:sz w:val="24"/>
          <w:szCs w:val="24"/>
          <w:lang w:val="en-GB"/>
        </w:rPr>
        <w:t xml:space="preserve"> and development planners</w:t>
      </w:r>
      <w:r w:rsidR="00E271A1" w:rsidRPr="00A17D9B">
        <w:rPr>
          <w:rFonts w:ascii="Garamond" w:hAnsi="Garamond"/>
          <w:sz w:val="24"/>
          <w:szCs w:val="24"/>
          <w:lang w:val="en-GB"/>
        </w:rPr>
        <w:t xml:space="preserve">, </w:t>
      </w:r>
      <w:r w:rsidR="002C21EE" w:rsidRPr="00A17D9B">
        <w:rPr>
          <w:rFonts w:ascii="Garamond" w:hAnsi="Garamond"/>
          <w:i/>
          <w:iCs/>
          <w:sz w:val="24"/>
          <w:szCs w:val="24"/>
          <w:lang w:val="en-GB"/>
        </w:rPr>
        <w:t>critical</w:t>
      </w:r>
      <w:r w:rsidR="002C21EE" w:rsidRPr="00A17D9B">
        <w:rPr>
          <w:rFonts w:ascii="Garamond" w:hAnsi="Garamond"/>
          <w:sz w:val="24"/>
          <w:szCs w:val="24"/>
          <w:lang w:val="en-GB"/>
        </w:rPr>
        <w:t xml:space="preserve"> </w:t>
      </w:r>
      <w:r w:rsidR="002C21EE" w:rsidRPr="00A17D9B">
        <w:rPr>
          <w:rFonts w:ascii="Garamond" w:hAnsi="Garamond"/>
          <w:i/>
          <w:iCs/>
          <w:sz w:val="24"/>
          <w:szCs w:val="24"/>
          <w:lang w:val="en-GB"/>
        </w:rPr>
        <w:t>strategic information</w:t>
      </w:r>
      <w:r w:rsidR="002C21EE" w:rsidRPr="00A17D9B">
        <w:rPr>
          <w:rFonts w:ascii="Garamond" w:hAnsi="Garamond"/>
          <w:sz w:val="24"/>
          <w:szCs w:val="24"/>
          <w:lang w:val="en-GB"/>
        </w:rPr>
        <w:t xml:space="preserve"> about the timing, cost and chances of success of an intervention. </w:t>
      </w:r>
    </w:p>
    <w:p w14:paraId="08F2BF89" w14:textId="190E5C1E" w:rsidR="002919FF" w:rsidRPr="00A17D9B" w:rsidRDefault="005E206B" w:rsidP="00134FDE">
      <w:pPr>
        <w:spacing w:before="120" w:after="0" w:line="320" w:lineRule="atLeast"/>
        <w:jc w:val="both"/>
        <w:rPr>
          <w:rFonts w:ascii="Garamond" w:hAnsi="Garamond"/>
          <w:sz w:val="24"/>
          <w:szCs w:val="24"/>
          <w:lang w:val="en-GB"/>
        </w:rPr>
      </w:pPr>
      <w:r w:rsidRPr="00A17D9B">
        <w:rPr>
          <w:rFonts w:ascii="Garamond" w:hAnsi="Garamond"/>
          <w:sz w:val="24"/>
          <w:szCs w:val="24"/>
          <w:lang w:val="en-GB"/>
        </w:rPr>
        <w:t xml:space="preserve">It is this </w:t>
      </w:r>
      <w:proofErr w:type="spellStart"/>
      <w:r w:rsidR="00EA34CA" w:rsidRPr="00A17D9B">
        <w:rPr>
          <w:rFonts w:ascii="Garamond" w:hAnsi="Garamond"/>
          <w:sz w:val="24"/>
          <w:szCs w:val="24"/>
          <w:lang w:val="en-GB"/>
        </w:rPr>
        <w:t>hability</w:t>
      </w:r>
      <w:proofErr w:type="spellEnd"/>
      <w:r w:rsidR="002C21EE" w:rsidRPr="00A17D9B">
        <w:rPr>
          <w:rFonts w:ascii="Garamond" w:hAnsi="Garamond"/>
          <w:sz w:val="24"/>
          <w:szCs w:val="24"/>
          <w:lang w:val="en-GB"/>
        </w:rPr>
        <w:t xml:space="preserve"> to </w:t>
      </w:r>
      <w:r w:rsidRPr="00A17D9B">
        <w:rPr>
          <w:rFonts w:ascii="Garamond" w:hAnsi="Garamond"/>
          <w:sz w:val="24"/>
          <w:szCs w:val="24"/>
          <w:lang w:val="en-GB"/>
        </w:rPr>
        <w:t>think both systemically and strategically</w:t>
      </w:r>
      <w:r w:rsidR="00526CF0" w:rsidRPr="00A17D9B">
        <w:rPr>
          <w:rFonts w:ascii="Garamond" w:hAnsi="Garamond"/>
          <w:sz w:val="24"/>
          <w:szCs w:val="24"/>
          <w:lang w:val="en-GB"/>
        </w:rPr>
        <w:t xml:space="preserve"> about</w:t>
      </w:r>
      <w:r w:rsidRPr="00A17D9B">
        <w:rPr>
          <w:rFonts w:ascii="Garamond" w:hAnsi="Garamond"/>
          <w:sz w:val="24"/>
          <w:szCs w:val="24"/>
          <w:lang w:val="en-GB"/>
        </w:rPr>
        <w:t xml:space="preserve"> development processes that distinguish</w:t>
      </w:r>
      <w:r w:rsidR="00526CF0" w:rsidRPr="00A17D9B">
        <w:rPr>
          <w:rFonts w:ascii="Garamond" w:hAnsi="Garamond"/>
          <w:sz w:val="24"/>
          <w:szCs w:val="24"/>
          <w:lang w:val="en-GB"/>
        </w:rPr>
        <w:t>es</w:t>
      </w:r>
      <w:r w:rsidRPr="00A17D9B">
        <w:rPr>
          <w:rFonts w:ascii="Garamond" w:hAnsi="Garamond"/>
          <w:sz w:val="24"/>
          <w:szCs w:val="24"/>
          <w:lang w:val="en-GB"/>
        </w:rPr>
        <w:t xml:space="preserve"> our approach. It is its strength and arguably </w:t>
      </w:r>
      <w:r w:rsidR="00526CF0" w:rsidRPr="00A17D9B">
        <w:rPr>
          <w:rFonts w:ascii="Garamond" w:hAnsi="Garamond"/>
          <w:sz w:val="24"/>
          <w:szCs w:val="24"/>
          <w:lang w:val="en-GB"/>
        </w:rPr>
        <w:t>also its weakness. None of this</w:t>
      </w:r>
      <w:r w:rsidRPr="00A17D9B">
        <w:rPr>
          <w:rFonts w:ascii="Garamond" w:hAnsi="Garamond"/>
          <w:sz w:val="24"/>
          <w:szCs w:val="24"/>
          <w:lang w:val="en-GB"/>
        </w:rPr>
        <w:t xml:space="preserve"> data should therefore be taken alone, but enriched and contrasted with other development indicators. </w:t>
      </w:r>
    </w:p>
    <w:p w14:paraId="1ED9773D" w14:textId="77777777" w:rsidR="00110E21" w:rsidRPr="00A17D9B" w:rsidRDefault="00110E21">
      <w:pPr>
        <w:rPr>
          <w:rFonts w:eastAsiaTheme="minorEastAsia"/>
          <w:noProof/>
          <w:color w:val="5A5A5A" w:themeColor="text1" w:themeTint="A5"/>
          <w:spacing w:val="15"/>
          <w:sz w:val="25"/>
          <w:lang w:val="en-GB"/>
        </w:rPr>
      </w:pPr>
      <w:r w:rsidRPr="00A17D9B">
        <w:rPr>
          <w:noProof/>
          <w:lang w:val="en-GB"/>
        </w:rPr>
        <w:br w:type="page"/>
      </w:r>
    </w:p>
    <w:p w14:paraId="7DFDA3DC" w14:textId="7FCE0D19" w:rsidR="000D5470" w:rsidRPr="00A17D9B" w:rsidRDefault="000D5470" w:rsidP="000D5470">
      <w:pPr>
        <w:pStyle w:val="Subttulo"/>
        <w:rPr>
          <w:noProof/>
          <w:lang w:val="en-GB"/>
        </w:rPr>
      </w:pPr>
      <w:r w:rsidRPr="00A17D9B">
        <w:rPr>
          <w:noProof/>
          <w:lang w:val="en-GB"/>
        </w:rPr>
        <w:lastRenderedPageBreak/>
        <w:t>Bibliography</w:t>
      </w:r>
    </w:p>
    <w:p w14:paraId="1C35C7BB" w14:textId="3D31913E" w:rsidR="0086346F" w:rsidRPr="00A17D9B" w:rsidRDefault="0086346F" w:rsidP="00453966">
      <w:pPr>
        <w:pStyle w:val="Textonotapie"/>
        <w:ind w:left="510" w:hanging="510"/>
        <w:rPr>
          <w:noProof/>
          <w:lang w:val="en-GB"/>
        </w:rPr>
      </w:pPr>
      <w:r w:rsidRPr="00A17D9B">
        <w:rPr>
          <w:smallCaps/>
          <w:noProof/>
          <w:lang w:val="en-GB"/>
        </w:rPr>
        <w:t>Bourdieu</w:t>
      </w:r>
      <w:r w:rsidRPr="00A17D9B">
        <w:rPr>
          <w:noProof/>
          <w:lang w:val="en-GB"/>
        </w:rPr>
        <w:t xml:space="preserve">, P. (1977), </w:t>
      </w:r>
      <w:r w:rsidRPr="00A17D9B">
        <w:rPr>
          <w:i/>
          <w:iCs/>
          <w:noProof/>
          <w:lang w:val="en-GB"/>
        </w:rPr>
        <w:t>Outline of a Theory of Practice</w:t>
      </w:r>
      <w:r w:rsidRPr="00A17D9B">
        <w:rPr>
          <w:noProof/>
          <w:lang w:val="en-GB"/>
        </w:rPr>
        <w:t>. Cambridge: CUP.</w:t>
      </w:r>
    </w:p>
    <w:p w14:paraId="563C16EA" w14:textId="0BDF3243" w:rsidR="0086346F" w:rsidRPr="00A17D9B" w:rsidRDefault="0086346F" w:rsidP="00453966">
      <w:pPr>
        <w:pStyle w:val="Textonotapie"/>
        <w:ind w:left="510" w:hanging="510"/>
        <w:rPr>
          <w:noProof/>
          <w:lang w:val="en-GB"/>
        </w:rPr>
      </w:pPr>
      <w:r w:rsidRPr="00A17D9B">
        <w:rPr>
          <w:smallCaps/>
          <w:noProof/>
          <w:lang w:val="en-GB"/>
        </w:rPr>
        <w:t>Bourdieu</w:t>
      </w:r>
      <w:r w:rsidRPr="00A17D9B">
        <w:rPr>
          <w:noProof/>
          <w:lang w:val="en-GB"/>
        </w:rPr>
        <w:t xml:space="preserve">, P., (1990). </w:t>
      </w:r>
      <w:r w:rsidRPr="00A17D9B">
        <w:rPr>
          <w:i/>
          <w:iCs/>
          <w:noProof/>
          <w:lang w:val="en-GB"/>
        </w:rPr>
        <w:t>The logic of practice</w:t>
      </w:r>
      <w:r w:rsidRPr="00A17D9B">
        <w:rPr>
          <w:noProof/>
          <w:lang w:val="en-GB"/>
        </w:rPr>
        <w:t>, Stanford: Standford University Press.</w:t>
      </w:r>
    </w:p>
    <w:p w14:paraId="5A4801DF" w14:textId="77777777" w:rsidR="0086346F" w:rsidRPr="00A17D9B" w:rsidRDefault="0086346F" w:rsidP="00453966">
      <w:pPr>
        <w:spacing w:after="0" w:line="240" w:lineRule="auto"/>
        <w:ind w:left="510" w:hanging="510"/>
        <w:rPr>
          <w:rFonts w:ascii="Garamond" w:hAnsi="Garamond"/>
          <w:noProof/>
          <w:sz w:val="20"/>
          <w:szCs w:val="20"/>
          <w:lang w:val="en-GB"/>
        </w:rPr>
      </w:pPr>
      <w:r w:rsidRPr="00A17D9B">
        <w:rPr>
          <w:rFonts w:ascii="Garamond" w:hAnsi="Garamond"/>
          <w:smallCaps/>
          <w:noProof/>
          <w:sz w:val="20"/>
          <w:szCs w:val="20"/>
          <w:lang w:val="en-GB"/>
        </w:rPr>
        <w:t xml:space="preserve">Centola </w:t>
      </w:r>
      <w:r w:rsidRPr="00A17D9B">
        <w:rPr>
          <w:rFonts w:ascii="Garamond" w:hAnsi="Garamond"/>
          <w:noProof/>
          <w:sz w:val="20"/>
          <w:szCs w:val="20"/>
          <w:lang w:val="en-GB"/>
        </w:rPr>
        <w:t xml:space="preserve">D., (2018), How behaviors spreads. The science of complex contagions. Princeton: Princeton University Press. </w:t>
      </w:r>
    </w:p>
    <w:p w14:paraId="177CB350" w14:textId="67F66141" w:rsidR="0086346F" w:rsidRPr="00A17D9B" w:rsidRDefault="0086346F" w:rsidP="0086346F">
      <w:pPr>
        <w:spacing w:after="0" w:line="240" w:lineRule="auto"/>
        <w:ind w:left="510" w:hanging="510"/>
        <w:rPr>
          <w:rFonts w:ascii="Garamond" w:hAnsi="Garamond" w:cs="Segoe UI"/>
          <w:color w:val="222222"/>
          <w:sz w:val="20"/>
          <w:szCs w:val="20"/>
          <w:shd w:val="clear" w:color="auto" w:fill="FFFFFF"/>
          <w:lang w:val="en-US"/>
        </w:rPr>
      </w:pPr>
      <w:proofErr w:type="spellStart"/>
      <w:r w:rsidRPr="00A17D9B">
        <w:rPr>
          <w:rFonts w:ascii="Garamond" w:hAnsi="Garamond" w:cs="Segoe UI"/>
          <w:smallCaps/>
          <w:color w:val="222222"/>
          <w:sz w:val="20"/>
          <w:szCs w:val="20"/>
          <w:shd w:val="clear" w:color="auto" w:fill="FFFFFF"/>
          <w:lang w:val="en-US"/>
        </w:rPr>
        <w:t>Centola</w:t>
      </w:r>
      <w:proofErr w:type="spellEnd"/>
      <w:r w:rsidRPr="00A17D9B">
        <w:rPr>
          <w:rFonts w:ascii="Garamond" w:hAnsi="Garamond" w:cs="Segoe UI"/>
          <w:smallCaps/>
          <w:color w:val="222222"/>
          <w:sz w:val="20"/>
          <w:szCs w:val="20"/>
          <w:shd w:val="clear" w:color="auto" w:fill="FFFFFF"/>
          <w:lang w:val="en-US"/>
        </w:rPr>
        <w:t xml:space="preserve"> D., Becker J., </w:t>
      </w:r>
      <w:proofErr w:type="spellStart"/>
      <w:r w:rsidRPr="00A17D9B">
        <w:rPr>
          <w:rFonts w:ascii="Garamond" w:hAnsi="Garamond" w:cs="Segoe UI"/>
          <w:smallCaps/>
          <w:color w:val="222222"/>
          <w:sz w:val="20"/>
          <w:szCs w:val="20"/>
          <w:shd w:val="clear" w:color="auto" w:fill="FFFFFF"/>
          <w:lang w:val="en-US"/>
        </w:rPr>
        <w:t>Brackbill</w:t>
      </w:r>
      <w:proofErr w:type="spellEnd"/>
      <w:r w:rsidRPr="00A17D9B">
        <w:rPr>
          <w:rFonts w:ascii="Garamond" w:hAnsi="Garamond" w:cs="Segoe UI"/>
          <w:smallCaps/>
          <w:color w:val="222222"/>
          <w:sz w:val="20"/>
          <w:szCs w:val="20"/>
          <w:shd w:val="clear" w:color="auto" w:fill="FFFFFF"/>
          <w:lang w:val="en-US"/>
        </w:rPr>
        <w:t xml:space="preserve"> D., </w:t>
      </w:r>
      <w:proofErr w:type="spellStart"/>
      <w:r w:rsidRPr="00A17D9B">
        <w:rPr>
          <w:rFonts w:ascii="Garamond" w:hAnsi="Garamond" w:cs="Segoe UI"/>
          <w:smallCaps/>
          <w:color w:val="222222"/>
          <w:sz w:val="20"/>
          <w:szCs w:val="20"/>
          <w:shd w:val="clear" w:color="auto" w:fill="FFFFFF"/>
          <w:lang w:val="en-US"/>
        </w:rPr>
        <w:t>Baronchelli</w:t>
      </w:r>
      <w:proofErr w:type="spellEnd"/>
      <w:r w:rsidRPr="00A17D9B">
        <w:rPr>
          <w:rFonts w:ascii="Garamond" w:hAnsi="Garamond" w:cs="Segoe UI"/>
          <w:smallCaps/>
          <w:color w:val="222222"/>
          <w:sz w:val="20"/>
          <w:szCs w:val="20"/>
          <w:shd w:val="clear" w:color="auto" w:fill="FFFFFF"/>
          <w:lang w:val="en-US"/>
        </w:rPr>
        <w:t xml:space="preserve"> A</w:t>
      </w:r>
      <w:r w:rsidRPr="00A17D9B">
        <w:rPr>
          <w:rFonts w:ascii="Garamond" w:hAnsi="Garamond" w:cs="Segoe UI"/>
          <w:color w:val="222222"/>
          <w:sz w:val="20"/>
          <w:szCs w:val="20"/>
          <w:shd w:val="clear" w:color="auto" w:fill="FFFFFF"/>
          <w:lang w:val="en-US"/>
        </w:rPr>
        <w:t>. (2018), "Experimental evidence for tipping points in social convention", Science 360/6393, 1116-1119.</w:t>
      </w:r>
    </w:p>
    <w:p w14:paraId="25F7BBBC" w14:textId="77777777" w:rsidR="0086346F" w:rsidRPr="00A17D9B" w:rsidRDefault="0086346F" w:rsidP="00453966">
      <w:pPr>
        <w:spacing w:after="0" w:line="240" w:lineRule="auto"/>
        <w:ind w:left="510" w:hanging="510"/>
        <w:rPr>
          <w:rFonts w:ascii="Garamond" w:hAnsi="Garamond"/>
          <w:noProof/>
          <w:sz w:val="20"/>
          <w:szCs w:val="20"/>
          <w:lang w:val="en-GB"/>
        </w:rPr>
      </w:pPr>
      <w:r w:rsidRPr="00A17D9B">
        <w:rPr>
          <w:rFonts w:ascii="Garamond" w:hAnsi="Garamond"/>
          <w:smallCaps/>
          <w:noProof/>
          <w:sz w:val="20"/>
          <w:szCs w:val="20"/>
          <w:lang w:val="en-US"/>
        </w:rPr>
        <w:t xml:space="preserve">De Angelis, M. &amp; Harvie, </w:t>
      </w:r>
      <w:r w:rsidRPr="00A17D9B">
        <w:rPr>
          <w:rFonts w:ascii="Garamond" w:hAnsi="Garamond"/>
          <w:noProof/>
          <w:sz w:val="20"/>
          <w:szCs w:val="20"/>
          <w:lang w:val="en-US"/>
        </w:rPr>
        <w:t xml:space="preserve">D. (2013). </w:t>
      </w:r>
      <w:r w:rsidRPr="00A17D9B">
        <w:rPr>
          <w:rFonts w:ascii="Garamond" w:hAnsi="Garamond"/>
          <w:noProof/>
          <w:sz w:val="20"/>
          <w:szCs w:val="20"/>
          <w:lang w:val="en-GB"/>
        </w:rPr>
        <w:t xml:space="preserve">“The Commons”. In Parker M., Cheney G., Fournier V., Land C. (Eds.), </w:t>
      </w:r>
      <w:r w:rsidRPr="00A17D9B">
        <w:rPr>
          <w:rFonts w:ascii="Garamond" w:hAnsi="Garamond"/>
          <w:i/>
          <w:iCs/>
          <w:noProof/>
          <w:sz w:val="20"/>
          <w:szCs w:val="20"/>
          <w:lang w:val="en-GB"/>
        </w:rPr>
        <w:t>The Routledge Companion to Alternative Organization</w:t>
      </w:r>
      <w:r w:rsidRPr="00A17D9B">
        <w:rPr>
          <w:rFonts w:ascii="Garamond" w:hAnsi="Garamond"/>
          <w:noProof/>
          <w:sz w:val="20"/>
          <w:szCs w:val="20"/>
          <w:lang w:val="en-GB"/>
        </w:rPr>
        <w:t>, London: Routledge, 280-294.</w:t>
      </w:r>
    </w:p>
    <w:p w14:paraId="2BE9F390" w14:textId="2FF7C13B" w:rsidR="0086346F" w:rsidRPr="00A17D9B" w:rsidRDefault="0086346F" w:rsidP="00453966">
      <w:pPr>
        <w:spacing w:after="0" w:line="240" w:lineRule="auto"/>
        <w:ind w:left="510" w:hanging="510"/>
        <w:rPr>
          <w:rFonts w:ascii="Garamond" w:hAnsi="Garamond" w:cstheme="minorHAnsi"/>
          <w:noProof/>
          <w:sz w:val="20"/>
          <w:szCs w:val="20"/>
          <w:lang w:val="en-GB"/>
        </w:rPr>
      </w:pPr>
      <w:r w:rsidRPr="00A17D9B">
        <w:rPr>
          <w:rFonts w:ascii="Garamond" w:hAnsi="Garamond" w:cstheme="minorHAnsi"/>
          <w:smallCaps/>
          <w:noProof/>
          <w:sz w:val="20"/>
          <w:szCs w:val="20"/>
          <w:lang w:val="en-GB"/>
        </w:rPr>
        <w:t>Euler</w:t>
      </w:r>
      <w:r w:rsidRPr="00A17D9B">
        <w:rPr>
          <w:rFonts w:ascii="Garamond" w:hAnsi="Garamond" w:cstheme="minorHAnsi"/>
          <w:noProof/>
          <w:sz w:val="20"/>
          <w:szCs w:val="20"/>
          <w:lang w:val="en-GB"/>
        </w:rPr>
        <w:t xml:space="preserve">, J. (2018), “Conceptualizing the Commons”, in </w:t>
      </w:r>
      <w:r w:rsidRPr="00A17D9B">
        <w:rPr>
          <w:rFonts w:ascii="Garamond" w:hAnsi="Garamond" w:cstheme="minorHAnsi"/>
          <w:i/>
          <w:iCs/>
          <w:noProof/>
          <w:sz w:val="20"/>
          <w:szCs w:val="20"/>
          <w:lang w:val="en-GB"/>
        </w:rPr>
        <w:t>Ecological Economics 143</w:t>
      </w:r>
      <w:r w:rsidRPr="00A17D9B">
        <w:rPr>
          <w:rFonts w:ascii="Garamond" w:hAnsi="Garamond" w:cstheme="minorHAnsi"/>
          <w:noProof/>
          <w:sz w:val="20"/>
          <w:szCs w:val="20"/>
          <w:lang w:val="en-GB"/>
        </w:rPr>
        <w:t>, 10-16.</w:t>
      </w:r>
    </w:p>
    <w:p w14:paraId="4EBCC1AF" w14:textId="65A91A48" w:rsidR="0092010C" w:rsidRPr="00A17D9B" w:rsidRDefault="0092010C" w:rsidP="00453966">
      <w:pPr>
        <w:spacing w:after="0" w:line="240" w:lineRule="auto"/>
        <w:ind w:left="510" w:hanging="510"/>
        <w:rPr>
          <w:rFonts w:ascii="Garamond" w:hAnsi="Garamond" w:cstheme="minorHAnsi"/>
          <w:noProof/>
          <w:sz w:val="20"/>
          <w:szCs w:val="20"/>
          <w:lang w:val="en-GB"/>
        </w:rPr>
      </w:pPr>
      <w:r w:rsidRPr="00A17D9B">
        <w:rPr>
          <w:rFonts w:ascii="Garamond" w:hAnsi="Garamond" w:cstheme="minorHAnsi"/>
          <w:noProof/>
          <w:sz w:val="20"/>
          <w:szCs w:val="20"/>
          <w:lang w:val="en-GB"/>
        </w:rPr>
        <w:t xml:space="preserve">EVS (2015), </w:t>
      </w:r>
      <w:r w:rsidRPr="00A17D9B">
        <w:rPr>
          <w:rFonts w:ascii="Garamond" w:hAnsi="Garamond" w:cstheme="minorHAnsi"/>
          <w:i/>
          <w:iCs/>
          <w:noProof/>
          <w:sz w:val="20"/>
          <w:szCs w:val="20"/>
          <w:lang w:val="en-GB"/>
        </w:rPr>
        <w:t>European Values Study Longitudinal Data File 1981-2015</w:t>
      </w:r>
      <w:r w:rsidRPr="00A17D9B">
        <w:rPr>
          <w:rFonts w:ascii="Garamond" w:hAnsi="Garamond" w:cstheme="minorHAnsi"/>
          <w:noProof/>
          <w:sz w:val="20"/>
          <w:szCs w:val="20"/>
          <w:lang w:val="en-GB"/>
        </w:rPr>
        <w:t xml:space="preserve"> (EVS 1981-2015). GESIS Data Archive, Cologne.</w:t>
      </w:r>
    </w:p>
    <w:p w14:paraId="4931B41A" w14:textId="77777777" w:rsidR="0086346F" w:rsidRPr="00A17D9B" w:rsidRDefault="0086346F" w:rsidP="00453966">
      <w:pPr>
        <w:spacing w:after="0" w:line="240" w:lineRule="auto"/>
        <w:ind w:left="510" w:hanging="510"/>
        <w:rPr>
          <w:rFonts w:ascii="Garamond" w:hAnsi="Garamond"/>
          <w:noProof/>
          <w:sz w:val="20"/>
          <w:szCs w:val="20"/>
          <w:lang w:val="en-GB"/>
        </w:rPr>
      </w:pPr>
      <w:r w:rsidRPr="00A17D9B">
        <w:rPr>
          <w:rFonts w:ascii="Garamond" w:hAnsi="Garamond"/>
          <w:smallCaps/>
          <w:noProof/>
          <w:sz w:val="20"/>
          <w:szCs w:val="20"/>
          <w:lang w:val="en-GB"/>
        </w:rPr>
        <w:t>Giddens</w:t>
      </w:r>
      <w:r w:rsidRPr="00A17D9B">
        <w:rPr>
          <w:rFonts w:ascii="Garamond" w:hAnsi="Garamond"/>
          <w:noProof/>
          <w:sz w:val="20"/>
          <w:szCs w:val="20"/>
          <w:lang w:val="en-GB"/>
        </w:rPr>
        <w:t xml:space="preserve">, A. (1986), </w:t>
      </w:r>
      <w:r w:rsidRPr="00A17D9B">
        <w:rPr>
          <w:rFonts w:ascii="Garamond" w:hAnsi="Garamond"/>
          <w:i/>
          <w:iCs/>
          <w:noProof/>
          <w:sz w:val="20"/>
          <w:szCs w:val="20"/>
          <w:lang w:val="en-GB"/>
        </w:rPr>
        <w:t>The constitution of society. Outline of the theory of structuration</w:t>
      </w:r>
      <w:r w:rsidRPr="00A17D9B">
        <w:rPr>
          <w:rFonts w:ascii="Garamond" w:hAnsi="Garamond"/>
          <w:noProof/>
          <w:sz w:val="20"/>
          <w:szCs w:val="20"/>
          <w:lang w:val="en-GB"/>
        </w:rPr>
        <w:t>. Oxford: Blackwell, 5-28.</w:t>
      </w:r>
    </w:p>
    <w:p w14:paraId="12D72CA7" w14:textId="77777777" w:rsidR="0086346F" w:rsidRPr="00A17D9B" w:rsidRDefault="0086346F" w:rsidP="0086346F">
      <w:pPr>
        <w:spacing w:after="0" w:line="240" w:lineRule="auto"/>
        <w:ind w:left="510" w:hanging="510"/>
        <w:rPr>
          <w:rFonts w:ascii="Garamond" w:hAnsi="Garamond"/>
          <w:noProof/>
          <w:sz w:val="20"/>
          <w:szCs w:val="20"/>
          <w:lang w:val="en-GB"/>
        </w:rPr>
      </w:pPr>
      <w:r w:rsidRPr="00A17D9B">
        <w:rPr>
          <w:rFonts w:ascii="Garamond" w:hAnsi="Garamond"/>
          <w:smallCaps/>
          <w:noProof/>
          <w:sz w:val="20"/>
          <w:szCs w:val="20"/>
          <w:lang w:val="en-GB"/>
        </w:rPr>
        <w:t>Granovetter</w:t>
      </w:r>
      <w:r w:rsidRPr="00A17D9B">
        <w:rPr>
          <w:rFonts w:ascii="Garamond" w:hAnsi="Garamond"/>
          <w:noProof/>
          <w:sz w:val="20"/>
          <w:szCs w:val="20"/>
          <w:lang w:val="en-GB"/>
        </w:rPr>
        <w:t xml:space="preserve">, M. (1978), “The strenght of weack ties: a network theory revised”, in </w:t>
      </w:r>
      <w:r w:rsidRPr="00A17D9B">
        <w:rPr>
          <w:rFonts w:ascii="Garamond" w:hAnsi="Garamond"/>
          <w:i/>
          <w:iCs/>
          <w:noProof/>
          <w:sz w:val="20"/>
          <w:szCs w:val="20"/>
          <w:lang w:val="en-GB"/>
        </w:rPr>
        <w:t>American Journal of Sociology 83/6</w:t>
      </w:r>
      <w:r w:rsidRPr="00A17D9B">
        <w:rPr>
          <w:rFonts w:ascii="Garamond" w:hAnsi="Garamond"/>
          <w:noProof/>
          <w:sz w:val="20"/>
          <w:szCs w:val="20"/>
          <w:lang w:val="en-GB"/>
        </w:rPr>
        <w:t>, 1420-1443.</w:t>
      </w:r>
    </w:p>
    <w:p w14:paraId="63D8C906" w14:textId="77777777" w:rsidR="0086346F" w:rsidRPr="00A17D9B" w:rsidRDefault="0086346F" w:rsidP="0086346F">
      <w:pPr>
        <w:spacing w:after="0" w:line="240" w:lineRule="auto"/>
        <w:ind w:left="510" w:hanging="510"/>
        <w:rPr>
          <w:rFonts w:ascii="Garamond" w:hAnsi="Garamond"/>
          <w:noProof/>
          <w:sz w:val="20"/>
          <w:szCs w:val="20"/>
          <w:lang w:val="en-GB"/>
        </w:rPr>
      </w:pPr>
      <w:r w:rsidRPr="00A17D9B">
        <w:rPr>
          <w:rFonts w:ascii="Garamond" w:hAnsi="Garamond"/>
          <w:smallCaps/>
          <w:noProof/>
          <w:sz w:val="20"/>
          <w:szCs w:val="20"/>
          <w:lang w:val="en-GB"/>
        </w:rPr>
        <w:t xml:space="preserve">Granovetter, </w:t>
      </w:r>
      <w:r w:rsidRPr="00A17D9B">
        <w:rPr>
          <w:rFonts w:ascii="Garamond" w:hAnsi="Garamond"/>
          <w:noProof/>
          <w:sz w:val="20"/>
          <w:szCs w:val="20"/>
          <w:lang w:val="en-GB"/>
        </w:rPr>
        <w:t xml:space="preserve">M. (1983), “Threshold models of collective behavior”, in </w:t>
      </w:r>
      <w:r w:rsidRPr="00A17D9B">
        <w:rPr>
          <w:rFonts w:ascii="Garamond" w:hAnsi="Garamond"/>
          <w:i/>
          <w:iCs/>
          <w:noProof/>
          <w:sz w:val="20"/>
          <w:szCs w:val="20"/>
          <w:lang w:val="en-GB"/>
        </w:rPr>
        <w:t>Sociological Theory 1/1,</w:t>
      </w:r>
      <w:r w:rsidRPr="00A17D9B">
        <w:rPr>
          <w:rFonts w:ascii="Garamond" w:hAnsi="Garamond"/>
          <w:noProof/>
          <w:sz w:val="20"/>
          <w:szCs w:val="20"/>
          <w:lang w:val="en-GB"/>
        </w:rPr>
        <w:t xml:space="preserve"> 201-233.</w:t>
      </w:r>
    </w:p>
    <w:p w14:paraId="0EA4DA87" w14:textId="77777777" w:rsidR="0086346F" w:rsidRPr="00A17D9B" w:rsidRDefault="0086346F" w:rsidP="00453966">
      <w:pPr>
        <w:pStyle w:val="Textonotapie"/>
        <w:ind w:left="510" w:hanging="510"/>
        <w:jc w:val="left"/>
        <w:rPr>
          <w:noProof/>
        </w:rPr>
      </w:pPr>
      <w:r w:rsidRPr="00A17D9B">
        <w:rPr>
          <w:smallCaps/>
          <w:noProof/>
        </w:rPr>
        <w:t>Hibst P. (1991)</w:t>
      </w:r>
      <w:r w:rsidRPr="00A17D9B">
        <w:rPr>
          <w:noProof/>
        </w:rPr>
        <w:t xml:space="preserve">, </w:t>
      </w:r>
      <w:r w:rsidRPr="00A17D9B">
        <w:rPr>
          <w:i/>
          <w:iCs/>
          <w:noProof/>
        </w:rPr>
        <w:t>Utilitas Publica – Gemeiner Nutz – Gemeinwohl</w:t>
      </w:r>
      <w:r w:rsidRPr="00A17D9B">
        <w:rPr>
          <w:noProof/>
        </w:rPr>
        <w:t xml:space="preserve">. Frankfurt: Peter Lang. </w:t>
      </w:r>
    </w:p>
    <w:p w14:paraId="65601D5F" w14:textId="77777777" w:rsidR="0086346F" w:rsidRPr="00A17D9B" w:rsidRDefault="0086346F" w:rsidP="00453966">
      <w:pPr>
        <w:spacing w:after="0" w:line="240" w:lineRule="auto"/>
        <w:ind w:left="510" w:hanging="510"/>
        <w:rPr>
          <w:rFonts w:ascii="Garamond" w:hAnsi="Garamond"/>
          <w:noProof/>
          <w:sz w:val="20"/>
          <w:szCs w:val="20"/>
          <w:lang w:val="en-GB"/>
        </w:rPr>
      </w:pPr>
      <w:r w:rsidRPr="00A17D9B">
        <w:rPr>
          <w:rFonts w:ascii="Garamond" w:hAnsi="Garamond"/>
          <w:smallCaps/>
          <w:noProof/>
          <w:sz w:val="20"/>
          <w:szCs w:val="20"/>
          <w:lang w:val="en-GB"/>
        </w:rPr>
        <w:t>Ibrahim S.I. (2016)</w:t>
      </w:r>
      <w:r w:rsidRPr="00A17D9B">
        <w:rPr>
          <w:rFonts w:ascii="Garamond" w:hAnsi="Garamond"/>
          <w:noProof/>
          <w:sz w:val="20"/>
          <w:szCs w:val="20"/>
          <w:lang w:val="en-GB"/>
        </w:rPr>
        <w:t xml:space="preserve">, “How to Build Collective Capabilities: The 3C-Model for Grassroots-Led Development” in </w:t>
      </w:r>
      <w:r w:rsidRPr="00A17D9B">
        <w:rPr>
          <w:rFonts w:ascii="Garamond" w:hAnsi="Garamond"/>
          <w:i/>
          <w:noProof/>
          <w:sz w:val="20"/>
          <w:szCs w:val="20"/>
          <w:lang w:val="en-GB"/>
        </w:rPr>
        <w:t>Journal of Human Development 18/2</w:t>
      </w:r>
      <w:r w:rsidRPr="00A17D9B">
        <w:rPr>
          <w:rFonts w:ascii="Garamond" w:hAnsi="Garamond"/>
          <w:noProof/>
          <w:sz w:val="20"/>
          <w:szCs w:val="20"/>
          <w:lang w:val="en-GB"/>
        </w:rPr>
        <w:t xml:space="preserve"> (2017), 197-222. </w:t>
      </w:r>
    </w:p>
    <w:p w14:paraId="3353A56C" w14:textId="77777777" w:rsidR="0086346F" w:rsidRPr="00A17D9B" w:rsidRDefault="0086346F" w:rsidP="00453966">
      <w:pPr>
        <w:pStyle w:val="Textonotapie"/>
        <w:ind w:left="510" w:hanging="510"/>
        <w:jc w:val="left"/>
        <w:rPr>
          <w:noProof/>
          <w:lang w:val="en-GB"/>
        </w:rPr>
      </w:pPr>
      <w:r w:rsidRPr="00A17D9B">
        <w:rPr>
          <w:smallCaps/>
          <w:noProof/>
          <w:lang w:val="en-GB"/>
        </w:rPr>
        <w:t>Kaul I.</w:t>
      </w:r>
      <w:r w:rsidRPr="00A17D9B">
        <w:rPr>
          <w:noProof/>
          <w:lang w:val="en-GB"/>
        </w:rPr>
        <w:t xml:space="preserve">, </w:t>
      </w:r>
      <w:r w:rsidRPr="00A17D9B">
        <w:rPr>
          <w:smallCaps/>
          <w:noProof/>
          <w:lang w:val="en-GB"/>
        </w:rPr>
        <w:t>Grunberg I.</w:t>
      </w:r>
      <w:r w:rsidRPr="00A17D9B">
        <w:rPr>
          <w:noProof/>
          <w:lang w:val="en-GB"/>
        </w:rPr>
        <w:t xml:space="preserve">, </w:t>
      </w:r>
      <w:r w:rsidRPr="00A17D9B">
        <w:rPr>
          <w:smallCaps/>
          <w:noProof/>
          <w:lang w:val="en-GB"/>
        </w:rPr>
        <w:t xml:space="preserve">Stern M.A., </w:t>
      </w:r>
      <w:r w:rsidRPr="00A17D9B">
        <w:rPr>
          <w:noProof/>
          <w:lang w:val="en-GB"/>
        </w:rPr>
        <w:t>Eds</w:t>
      </w:r>
      <w:r w:rsidRPr="00A17D9B">
        <w:rPr>
          <w:smallCaps/>
          <w:noProof/>
          <w:lang w:val="en-GB"/>
        </w:rPr>
        <w:t xml:space="preserve"> (1999)</w:t>
      </w:r>
      <w:r w:rsidRPr="00A17D9B">
        <w:rPr>
          <w:noProof/>
          <w:lang w:val="en-GB"/>
        </w:rPr>
        <w:t xml:space="preserve">, </w:t>
      </w:r>
      <w:r w:rsidRPr="00A17D9B">
        <w:rPr>
          <w:i/>
          <w:noProof/>
          <w:lang w:val="en-GB"/>
        </w:rPr>
        <w:t>Global Public Goods</w:t>
      </w:r>
      <w:r w:rsidRPr="00A17D9B">
        <w:rPr>
          <w:noProof/>
          <w:lang w:val="en-GB"/>
        </w:rPr>
        <w:t>. Oxford: OUP/PNUD Press.</w:t>
      </w:r>
    </w:p>
    <w:p w14:paraId="2AFDE6E5" w14:textId="77777777" w:rsidR="0086346F" w:rsidRPr="00A17D9B" w:rsidRDefault="0086346F" w:rsidP="00453966">
      <w:pPr>
        <w:pStyle w:val="Textonotapie"/>
        <w:ind w:left="510" w:hanging="510"/>
        <w:jc w:val="left"/>
        <w:rPr>
          <w:noProof/>
          <w:lang w:val="en-GB"/>
        </w:rPr>
      </w:pPr>
      <w:r w:rsidRPr="00A17D9B">
        <w:rPr>
          <w:smallCaps/>
          <w:noProof/>
          <w:lang w:val="en-GB"/>
        </w:rPr>
        <w:t>Kempshall M. (1999)</w:t>
      </w:r>
      <w:r w:rsidRPr="00A17D9B">
        <w:rPr>
          <w:noProof/>
          <w:lang w:val="en-GB"/>
        </w:rPr>
        <w:t xml:space="preserve">, </w:t>
      </w:r>
      <w:r w:rsidRPr="00A17D9B">
        <w:rPr>
          <w:i/>
          <w:iCs/>
          <w:noProof/>
          <w:lang w:val="en-GB"/>
        </w:rPr>
        <w:t>The common good in late medieval political thought</w:t>
      </w:r>
      <w:r w:rsidRPr="00A17D9B">
        <w:rPr>
          <w:noProof/>
          <w:lang w:val="en-GB"/>
        </w:rPr>
        <w:t xml:space="preserve">. Oxford: Oxford University Press. </w:t>
      </w:r>
    </w:p>
    <w:p w14:paraId="698F9DAE" w14:textId="77777777" w:rsidR="0086346F" w:rsidRPr="00A17D9B" w:rsidRDefault="0086346F" w:rsidP="00453966">
      <w:pPr>
        <w:pStyle w:val="Textonotapie"/>
        <w:ind w:left="510" w:hanging="510"/>
        <w:jc w:val="left"/>
        <w:rPr>
          <w:noProof/>
          <w:lang w:val="en-GB"/>
        </w:rPr>
      </w:pPr>
      <w:r w:rsidRPr="00A17D9B">
        <w:rPr>
          <w:smallCaps/>
          <w:noProof/>
          <w:lang w:val="en-GB"/>
        </w:rPr>
        <w:t>Lecuppre-Desjardin</w:t>
      </w:r>
      <w:r w:rsidRPr="00A17D9B">
        <w:rPr>
          <w:noProof/>
          <w:lang w:val="en-GB"/>
        </w:rPr>
        <w:t xml:space="preserve"> E. &amp; </w:t>
      </w:r>
      <w:r w:rsidRPr="00A17D9B">
        <w:rPr>
          <w:smallCaps/>
          <w:noProof/>
          <w:lang w:val="en-GB"/>
        </w:rPr>
        <w:t>Van Bruaene</w:t>
      </w:r>
      <w:r w:rsidRPr="00A17D9B">
        <w:rPr>
          <w:noProof/>
          <w:lang w:val="en-GB"/>
        </w:rPr>
        <w:t xml:space="preserve"> A.L., Eds (2010), </w:t>
      </w:r>
      <w:r w:rsidRPr="00A17D9B">
        <w:rPr>
          <w:i/>
          <w:noProof/>
          <w:lang w:val="en-GB"/>
        </w:rPr>
        <w:t>The Discourse and Practice of the Common Good in the European City</w:t>
      </w:r>
      <w:r w:rsidRPr="00A17D9B">
        <w:rPr>
          <w:noProof/>
          <w:lang w:val="en-GB"/>
        </w:rPr>
        <w:t>. Turnhout: Brepols.</w:t>
      </w:r>
    </w:p>
    <w:p w14:paraId="45A108C8" w14:textId="77777777" w:rsidR="0086346F" w:rsidRPr="00A17D9B" w:rsidRDefault="0086346F" w:rsidP="00453966">
      <w:pPr>
        <w:spacing w:after="0" w:line="240" w:lineRule="auto"/>
        <w:ind w:left="510" w:hanging="510"/>
        <w:rPr>
          <w:rFonts w:ascii="Garamond" w:hAnsi="Garamond"/>
          <w:noProof/>
          <w:sz w:val="20"/>
          <w:szCs w:val="20"/>
          <w:lang w:val="en-US"/>
        </w:rPr>
      </w:pPr>
      <w:r w:rsidRPr="00A17D9B">
        <w:rPr>
          <w:rFonts w:ascii="Garamond" w:hAnsi="Garamond"/>
          <w:smallCaps/>
          <w:noProof/>
          <w:sz w:val="20"/>
          <w:szCs w:val="20"/>
          <w:lang w:val="en-GB"/>
        </w:rPr>
        <w:t>Marwell</w:t>
      </w:r>
      <w:r w:rsidRPr="00A17D9B">
        <w:rPr>
          <w:rFonts w:ascii="Garamond" w:hAnsi="Garamond"/>
          <w:noProof/>
          <w:sz w:val="20"/>
          <w:szCs w:val="20"/>
          <w:lang w:val="en-GB"/>
        </w:rPr>
        <w:t xml:space="preserve"> G., Oliver P. (1993), </w:t>
      </w:r>
      <w:r w:rsidRPr="00A17D9B">
        <w:rPr>
          <w:rFonts w:ascii="Garamond" w:hAnsi="Garamond"/>
          <w:i/>
          <w:iCs/>
          <w:noProof/>
          <w:sz w:val="20"/>
          <w:szCs w:val="20"/>
          <w:lang w:val="en-GB"/>
        </w:rPr>
        <w:t>The Critical Mass in Collective Action</w:t>
      </w:r>
      <w:r w:rsidRPr="00A17D9B">
        <w:rPr>
          <w:rFonts w:ascii="Garamond" w:hAnsi="Garamond"/>
          <w:noProof/>
          <w:sz w:val="20"/>
          <w:szCs w:val="20"/>
          <w:lang w:val="en-GB"/>
        </w:rPr>
        <w:t xml:space="preserve">. </w:t>
      </w:r>
      <w:r w:rsidRPr="00A17D9B">
        <w:rPr>
          <w:rFonts w:ascii="Garamond" w:hAnsi="Garamond"/>
          <w:noProof/>
          <w:sz w:val="20"/>
          <w:szCs w:val="20"/>
          <w:lang w:val="en-US"/>
        </w:rPr>
        <w:t>Cambridge: Cambridge University Press.</w:t>
      </w:r>
    </w:p>
    <w:p w14:paraId="50C48A76" w14:textId="7944D502" w:rsidR="008E7DA9" w:rsidRPr="00A17D9B" w:rsidRDefault="008E7DA9" w:rsidP="008E7DA9">
      <w:pPr>
        <w:spacing w:after="0" w:line="240" w:lineRule="auto"/>
        <w:ind w:left="510" w:hanging="510"/>
        <w:rPr>
          <w:rFonts w:ascii="Garamond" w:hAnsi="Garamond"/>
          <w:noProof/>
          <w:sz w:val="20"/>
          <w:szCs w:val="20"/>
          <w:lang w:val="en-GB"/>
        </w:rPr>
      </w:pPr>
      <w:r w:rsidRPr="00A17D9B">
        <w:rPr>
          <w:rFonts w:ascii="Garamond" w:hAnsi="Garamond"/>
          <w:smallCaps/>
          <w:noProof/>
          <w:sz w:val="20"/>
          <w:szCs w:val="20"/>
          <w:lang w:val="en-GB"/>
        </w:rPr>
        <w:t>Nebel, M. (</w:t>
      </w:r>
      <w:r w:rsidRPr="00A17D9B">
        <w:rPr>
          <w:rFonts w:ascii="Garamond" w:hAnsi="Garamond"/>
          <w:noProof/>
          <w:sz w:val="20"/>
          <w:szCs w:val="20"/>
          <w:lang w:val="en-GB"/>
        </w:rPr>
        <w:t>2018a</w:t>
      </w:r>
      <w:r w:rsidRPr="00A17D9B">
        <w:rPr>
          <w:rFonts w:ascii="Garamond" w:hAnsi="Garamond"/>
          <w:smallCaps/>
          <w:noProof/>
          <w:sz w:val="20"/>
          <w:szCs w:val="20"/>
          <w:lang w:val="en-GB"/>
        </w:rPr>
        <w:t>) "</w:t>
      </w:r>
      <w:r w:rsidRPr="00A17D9B">
        <w:rPr>
          <w:rFonts w:ascii="Garamond" w:hAnsi="Garamond"/>
          <w:noProof/>
          <w:sz w:val="20"/>
          <w:szCs w:val="20"/>
          <w:lang w:val="en-GB"/>
        </w:rPr>
        <w:t>Searching for the common good</w:t>
      </w:r>
      <w:r w:rsidRPr="00A17D9B">
        <w:rPr>
          <w:rFonts w:ascii="Garamond" w:hAnsi="Garamond"/>
          <w:smallCaps/>
          <w:noProof/>
          <w:sz w:val="20"/>
          <w:szCs w:val="20"/>
          <w:lang w:val="en-GB"/>
        </w:rPr>
        <w:t xml:space="preserve">", </w:t>
      </w:r>
      <w:r w:rsidRPr="00A17D9B">
        <w:rPr>
          <w:rFonts w:ascii="Garamond" w:hAnsi="Garamond"/>
          <w:noProof/>
          <w:sz w:val="20"/>
          <w:szCs w:val="20"/>
          <w:lang w:val="en-GB"/>
        </w:rPr>
        <w:t>In</w:t>
      </w:r>
      <w:r w:rsidRPr="00A17D9B">
        <w:rPr>
          <w:rFonts w:ascii="Garamond" w:hAnsi="Garamond"/>
          <w:smallCaps/>
          <w:noProof/>
          <w:sz w:val="20"/>
          <w:szCs w:val="20"/>
          <w:lang w:val="en-GB"/>
        </w:rPr>
        <w:t xml:space="preserve"> Nebel &amp; Collaud </w:t>
      </w:r>
      <w:r w:rsidRPr="00A17D9B">
        <w:rPr>
          <w:rFonts w:ascii="Garamond" w:hAnsi="Garamond"/>
          <w:noProof/>
          <w:sz w:val="20"/>
          <w:szCs w:val="20"/>
          <w:lang w:val="en-GB"/>
        </w:rPr>
        <w:t xml:space="preserve">(Eds), </w:t>
      </w:r>
      <w:r w:rsidRPr="00A17D9B">
        <w:rPr>
          <w:rFonts w:ascii="Garamond" w:hAnsi="Garamond"/>
          <w:i/>
          <w:iCs/>
          <w:noProof/>
          <w:sz w:val="20"/>
          <w:szCs w:val="20"/>
          <w:lang w:val="en-GB"/>
        </w:rPr>
        <w:t>Searching for the common good</w:t>
      </w:r>
      <w:r w:rsidRPr="00A17D9B">
        <w:rPr>
          <w:rFonts w:ascii="Garamond" w:hAnsi="Garamond"/>
          <w:noProof/>
          <w:sz w:val="20"/>
          <w:szCs w:val="20"/>
          <w:lang w:val="en-GB"/>
        </w:rPr>
        <w:t>, Baden-Baden: Nomos Verlag, 111-148.</w:t>
      </w:r>
    </w:p>
    <w:p w14:paraId="4DDAC210" w14:textId="77777777" w:rsidR="0086346F" w:rsidRPr="00A17D9B" w:rsidRDefault="0086346F" w:rsidP="00453966">
      <w:pPr>
        <w:spacing w:after="0" w:line="240" w:lineRule="auto"/>
        <w:ind w:left="510" w:hanging="510"/>
        <w:rPr>
          <w:rFonts w:ascii="Garamond" w:hAnsi="Garamond"/>
          <w:noProof/>
          <w:sz w:val="20"/>
          <w:szCs w:val="20"/>
        </w:rPr>
      </w:pPr>
      <w:r w:rsidRPr="00A17D9B">
        <w:rPr>
          <w:rFonts w:ascii="Garamond" w:hAnsi="Garamond"/>
          <w:smallCaps/>
          <w:noProof/>
          <w:sz w:val="20"/>
          <w:szCs w:val="20"/>
        </w:rPr>
        <w:t>Nebel</w:t>
      </w:r>
      <w:r w:rsidRPr="00A17D9B">
        <w:rPr>
          <w:rFonts w:ascii="Garamond" w:hAnsi="Garamond"/>
          <w:noProof/>
          <w:sz w:val="20"/>
          <w:szCs w:val="20"/>
        </w:rPr>
        <w:t xml:space="preserve"> M. (2018b)"Operacionalizar el bien común. Teoría, vocabulario y medición", in </w:t>
      </w:r>
      <w:r w:rsidRPr="00A17D9B">
        <w:rPr>
          <w:rFonts w:ascii="Garamond" w:hAnsi="Garamond"/>
          <w:i/>
          <w:iCs/>
          <w:noProof/>
          <w:sz w:val="20"/>
          <w:szCs w:val="20"/>
        </w:rPr>
        <w:t>Metafisica y Persona</w:t>
      </w:r>
      <w:r w:rsidRPr="00A17D9B">
        <w:rPr>
          <w:rFonts w:ascii="Garamond" w:hAnsi="Garamond"/>
          <w:noProof/>
          <w:sz w:val="20"/>
          <w:szCs w:val="20"/>
        </w:rPr>
        <w:t xml:space="preserve"> 10/20, 28-66.</w:t>
      </w:r>
    </w:p>
    <w:p w14:paraId="13C9848C" w14:textId="77777777" w:rsidR="0086346F" w:rsidRPr="00A17D9B" w:rsidRDefault="0086346F" w:rsidP="00453966">
      <w:pPr>
        <w:pStyle w:val="Textonotapie"/>
        <w:ind w:left="510" w:hanging="510"/>
        <w:jc w:val="left"/>
        <w:rPr>
          <w:noProof/>
          <w:lang w:val="en-GB"/>
        </w:rPr>
      </w:pPr>
      <w:r w:rsidRPr="00A17D9B">
        <w:rPr>
          <w:smallCaps/>
          <w:noProof/>
          <w:lang w:val="en-GB"/>
        </w:rPr>
        <w:t>Ostrom E. (1990)</w:t>
      </w:r>
      <w:r w:rsidRPr="00A17D9B">
        <w:rPr>
          <w:noProof/>
          <w:lang w:val="en-GB"/>
        </w:rPr>
        <w:t xml:space="preserve">, </w:t>
      </w:r>
      <w:r w:rsidRPr="00A17D9B">
        <w:rPr>
          <w:i/>
          <w:noProof/>
          <w:lang w:val="en-GB"/>
        </w:rPr>
        <w:t xml:space="preserve">Governing the Commons, </w:t>
      </w:r>
      <w:r w:rsidRPr="00A17D9B">
        <w:rPr>
          <w:noProof/>
          <w:lang w:val="en-GB"/>
        </w:rPr>
        <w:t>Cambridge, CUP.</w:t>
      </w:r>
    </w:p>
    <w:p w14:paraId="34EEBC90" w14:textId="77777777" w:rsidR="0086346F" w:rsidRPr="00A17D9B" w:rsidRDefault="0086346F" w:rsidP="00453966">
      <w:pPr>
        <w:pStyle w:val="Textonotapie"/>
        <w:ind w:firstLine="0"/>
        <w:jc w:val="left"/>
        <w:rPr>
          <w:noProof/>
        </w:rPr>
      </w:pPr>
      <w:r w:rsidRPr="00A17D9B">
        <w:rPr>
          <w:smallCaps/>
          <w:noProof/>
          <w:lang w:val="en-GB"/>
        </w:rPr>
        <w:t>Putnam D. (2000)</w:t>
      </w:r>
      <w:r w:rsidRPr="00A17D9B">
        <w:rPr>
          <w:noProof/>
          <w:lang w:val="en-GB"/>
        </w:rPr>
        <w:t xml:space="preserve">, </w:t>
      </w:r>
      <w:r w:rsidRPr="00A17D9B">
        <w:rPr>
          <w:i/>
          <w:noProof/>
          <w:lang w:val="en-GB"/>
        </w:rPr>
        <w:t>Bowling Alone: The Collapse and Revival of American Community</w:t>
      </w:r>
      <w:r w:rsidRPr="00A17D9B">
        <w:rPr>
          <w:noProof/>
          <w:lang w:val="en-GB"/>
        </w:rPr>
        <w:t xml:space="preserve">. </w:t>
      </w:r>
      <w:r w:rsidRPr="00A17D9B">
        <w:rPr>
          <w:noProof/>
        </w:rPr>
        <w:t>New York: Simon &amp; Schuster.</w:t>
      </w:r>
    </w:p>
    <w:p w14:paraId="1513E630" w14:textId="37728EF0" w:rsidR="00FC030B" w:rsidRPr="00A17D9B" w:rsidRDefault="00FC030B" w:rsidP="00453966">
      <w:pPr>
        <w:pStyle w:val="Textonotapie"/>
        <w:ind w:left="510" w:hanging="510"/>
        <w:rPr>
          <w:rFonts w:cstheme="minorHAnsi"/>
          <w:smallCaps/>
          <w:noProof/>
        </w:rPr>
      </w:pPr>
      <w:r w:rsidRPr="00A17D9B">
        <w:rPr>
          <w:smallCaps/>
        </w:rPr>
        <w:t>Ricœur</w:t>
      </w:r>
      <w:r w:rsidRPr="00A17D9B">
        <w:t xml:space="preserve">, P. (2001), « De la morale à l’éthique et aux éthiques », in </w:t>
      </w:r>
      <w:r w:rsidRPr="00A17D9B">
        <w:rPr>
          <w:i/>
        </w:rPr>
        <w:t>Le juste II</w:t>
      </w:r>
      <w:r w:rsidRPr="00A17D9B">
        <w:t>, Paris : Esprit, 55-67.</w:t>
      </w:r>
    </w:p>
    <w:p w14:paraId="45C4A1A6" w14:textId="74B66A2B" w:rsidR="0086346F" w:rsidRPr="00A17D9B" w:rsidRDefault="0086346F" w:rsidP="00453966">
      <w:pPr>
        <w:pStyle w:val="Textonotapie"/>
        <w:ind w:left="510" w:hanging="510"/>
        <w:rPr>
          <w:rFonts w:cstheme="minorHAnsi"/>
          <w:noProof/>
        </w:rPr>
      </w:pPr>
      <w:r w:rsidRPr="00A17D9B">
        <w:rPr>
          <w:rFonts w:cstheme="minorHAnsi"/>
          <w:smallCaps/>
          <w:noProof/>
        </w:rPr>
        <w:t>Rigaudière</w:t>
      </w:r>
      <w:r w:rsidRPr="00A17D9B">
        <w:rPr>
          <w:rFonts w:cstheme="minorHAnsi"/>
          <w:noProof/>
        </w:rPr>
        <w:t xml:space="preserve">, A. (2010) "Donner pour le bien commun et contribuer pour les biens communs dans les villes du midi français du XIII au XV siècle", In </w:t>
      </w:r>
      <w:r w:rsidRPr="00A17D9B">
        <w:rPr>
          <w:rFonts w:cstheme="minorHAnsi"/>
          <w:smallCaps/>
          <w:noProof/>
        </w:rPr>
        <w:t>Lecuppre-Desjardin</w:t>
      </w:r>
      <w:r w:rsidRPr="00A17D9B">
        <w:rPr>
          <w:rFonts w:cstheme="minorHAnsi"/>
          <w:noProof/>
        </w:rPr>
        <w:t xml:space="preserve"> &amp; </w:t>
      </w:r>
      <w:r w:rsidRPr="00A17D9B">
        <w:rPr>
          <w:rFonts w:cstheme="minorHAnsi"/>
          <w:smallCaps/>
          <w:noProof/>
        </w:rPr>
        <w:t>Van Bruaene</w:t>
      </w:r>
      <w:r w:rsidRPr="00A17D9B">
        <w:rPr>
          <w:rFonts w:cstheme="minorHAnsi"/>
          <w:noProof/>
        </w:rPr>
        <w:t xml:space="preserve">, </w:t>
      </w:r>
      <w:r w:rsidRPr="00A17D9B">
        <w:rPr>
          <w:rFonts w:cstheme="minorHAnsi"/>
          <w:i/>
          <w:iCs/>
          <w:noProof/>
        </w:rPr>
        <w:t xml:space="preserve">De Bono Communi, </w:t>
      </w:r>
      <w:r w:rsidRPr="00A17D9B">
        <w:rPr>
          <w:rFonts w:cstheme="minorHAnsi"/>
          <w:noProof/>
        </w:rPr>
        <w:t xml:space="preserve">11-53. </w:t>
      </w:r>
    </w:p>
    <w:p w14:paraId="237A4622" w14:textId="77777777" w:rsidR="0086346F" w:rsidRPr="00A17D9B" w:rsidRDefault="0086346F" w:rsidP="00453966">
      <w:pPr>
        <w:pStyle w:val="Textonotapie"/>
        <w:ind w:left="510" w:hanging="510"/>
        <w:rPr>
          <w:rFonts w:cstheme="minorHAnsi"/>
          <w:noProof/>
        </w:rPr>
      </w:pPr>
      <w:r w:rsidRPr="00A17D9B">
        <w:rPr>
          <w:rFonts w:cstheme="minorHAnsi"/>
          <w:smallCaps/>
          <w:noProof/>
        </w:rPr>
        <w:t>Sassier</w:t>
      </w:r>
      <w:r w:rsidRPr="00A17D9B">
        <w:rPr>
          <w:rFonts w:cstheme="minorHAnsi"/>
          <w:noProof/>
        </w:rPr>
        <w:t xml:space="preserve"> Z. (2010) “Bien commun et utilitas communis au XIIe siècle, un nouvel essor?</w:t>
      </w:r>
      <w:r w:rsidRPr="00A17D9B">
        <w:rPr>
          <w:rFonts w:eastAsiaTheme="minorHAnsi"/>
          <w:noProof/>
        </w:rPr>
        <w:t xml:space="preserve"> </w:t>
      </w:r>
      <w:r w:rsidRPr="00A17D9B">
        <w:rPr>
          <w:rFonts w:cstheme="minorHAnsi"/>
          <w:noProof/>
        </w:rPr>
        <w:t xml:space="preserve">”, in </w:t>
      </w:r>
      <w:r w:rsidRPr="00A17D9B">
        <w:rPr>
          <w:rFonts w:cstheme="minorHAnsi"/>
          <w:i/>
          <w:iCs/>
          <w:noProof/>
        </w:rPr>
        <w:t>Revue Française d'Histoire des Idées Politiques 32/2</w:t>
      </w:r>
      <w:r w:rsidRPr="00A17D9B">
        <w:rPr>
          <w:rFonts w:cstheme="minorHAnsi"/>
          <w:noProof/>
        </w:rPr>
        <w:t>, 245-258.</w:t>
      </w:r>
    </w:p>
    <w:p w14:paraId="24E13E40" w14:textId="77777777" w:rsidR="0086346F" w:rsidRPr="00A17D9B" w:rsidRDefault="0086346F" w:rsidP="0086346F">
      <w:pPr>
        <w:spacing w:after="0" w:line="240" w:lineRule="auto"/>
        <w:ind w:left="510" w:hanging="510"/>
        <w:rPr>
          <w:rFonts w:ascii="Garamond" w:hAnsi="Garamond"/>
          <w:noProof/>
          <w:sz w:val="20"/>
          <w:szCs w:val="20"/>
          <w:lang w:val="en-GB"/>
        </w:rPr>
      </w:pPr>
      <w:r w:rsidRPr="00A17D9B">
        <w:rPr>
          <w:rFonts w:ascii="Garamond" w:hAnsi="Garamond"/>
          <w:smallCaps/>
          <w:noProof/>
          <w:sz w:val="20"/>
          <w:szCs w:val="20"/>
          <w:lang w:val="en-GB"/>
        </w:rPr>
        <w:t>Spaiser V., Hedstrom P., Ranganathan S., Jansson K., Nordvik M., Sumpter D</w:t>
      </w:r>
      <w:r w:rsidRPr="00A17D9B">
        <w:rPr>
          <w:rFonts w:ascii="Garamond" w:hAnsi="Garamond"/>
          <w:noProof/>
          <w:sz w:val="20"/>
          <w:szCs w:val="20"/>
          <w:lang w:val="en-GB"/>
        </w:rPr>
        <w:t xml:space="preserve">. (2018), "Identifying Complex Dynamics in Social Systems: A New Methodological Approach Applied to Study School Segregation", in </w:t>
      </w:r>
      <w:r w:rsidRPr="00A17D9B">
        <w:rPr>
          <w:rFonts w:ascii="Garamond" w:hAnsi="Garamond"/>
          <w:i/>
          <w:iCs/>
          <w:noProof/>
          <w:sz w:val="20"/>
          <w:szCs w:val="20"/>
          <w:lang w:val="en-GB"/>
        </w:rPr>
        <w:t>Methods &amp; Research Vol. 47/2,</w:t>
      </w:r>
      <w:r w:rsidRPr="00A17D9B">
        <w:rPr>
          <w:rFonts w:ascii="Garamond" w:hAnsi="Garamond"/>
          <w:noProof/>
          <w:sz w:val="20"/>
          <w:szCs w:val="20"/>
          <w:lang w:val="en-GB"/>
        </w:rPr>
        <w:t xml:space="preserve"> 103-135.</w:t>
      </w:r>
    </w:p>
    <w:p w14:paraId="701DE40E" w14:textId="77777777" w:rsidR="0086346F" w:rsidRPr="00A17D9B" w:rsidRDefault="0086346F" w:rsidP="00453966">
      <w:pPr>
        <w:pStyle w:val="Textonotapie"/>
        <w:ind w:left="510" w:hanging="510"/>
        <w:jc w:val="left"/>
        <w:rPr>
          <w:noProof/>
          <w:lang w:val="en-GB"/>
        </w:rPr>
      </w:pPr>
      <w:r w:rsidRPr="00A17D9B">
        <w:rPr>
          <w:smallCaps/>
          <w:noProof/>
          <w:lang w:val="en-GB"/>
        </w:rPr>
        <w:t>Ulrike</w:t>
      </w:r>
      <w:r w:rsidRPr="00A17D9B">
        <w:rPr>
          <w:noProof/>
          <w:lang w:val="en-GB"/>
        </w:rPr>
        <w:t xml:space="preserve"> D. (2013), “The Rise of the “Global Social” Origins and Transformations of Social Rights under UN Human Rights Law”, </w:t>
      </w:r>
      <w:r w:rsidRPr="00A17D9B">
        <w:rPr>
          <w:i/>
          <w:noProof/>
          <w:lang w:val="en-GB"/>
        </w:rPr>
        <w:t>International Journal of Social Quality 3/2</w:t>
      </w:r>
      <w:r w:rsidRPr="00A17D9B">
        <w:rPr>
          <w:noProof/>
          <w:lang w:val="en-GB"/>
        </w:rPr>
        <w:t>, 41-59.</w:t>
      </w:r>
    </w:p>
    <w:p w14:paraId="45C2DFE0" w14:textId="77777777" w:rsidR="0086346F" w:rsidRPr="00A17D9B" w:rsidRDefault="0086346F" w:rsidP="00453966">
      <w:pPr>
        <w:spacing w:after="0" w:line="240" w:lineRule="auto"/>
        <w:ind w:left="510" w:hanging="510"/>
        <w:rPr>
          <w:rFonts w:ascii="Garamond" w:hAnsi="Garamond"/>
          <w:noProof/>
          <w:sz w:val="20"/>
          <w:szCs w:val="20"/>
          <w:lang w:val="en-GB"/>
        </w:rPr>
      </w:pPr>
      <w:r w:rsidRPr="00A17D9B">
        <w:rPr>
          <w:rFonts w:ascii="Garamond" w:hAnsi="Garamond"/>
          <w:smallCaps/>
          <w:noProof/>
          <w:sz w:val="20"/>
          <w:szCs w:val="20"/>
        </w:rPr>
        <w:t>Van Laerhoven, F. &amp; Berge</w:t>
      </w:r>
      <w:r w:rsidRPr="00A17D9B">
        <w:rPr>
          <w:rFonts w:ascii="Garamond" w:hAnsi="Garamond"/>
          <w:noProof/>
          <w:sz w:val="20"/>
          <w:szCs w:val="20"/>
        </w:rPr>
        <w:t xml:space="preserve">, E. (2011). </w:t>
      </w:r>
      <w:r w:rsidRPr="00A17D9B">
        <w:rPr>
          <w:rFonts w:ascii="Garamond" w:hAnsi="Garamond"/>
          <w:noProof/>
          <w:sz w:val="20"/>
          <w:szCs w:val="20"/>
          <w:lang w:val="en-GB"/>
        </w:rPr>
        <w:t xml:space="preserve">“The 20th anniversary of Elinor Ostrom’s Governing the Commons”. </w:t>
      </w:r>
      <w:r w:rsidRPr="00A17D9B">
        <w:rPr>
          <w:rFonts w:ascii="Garamond" w:hAnsi="Garamond"/>
          <w:i/>
          <w:iCs/>
          <w:noProof/>
          <w:sz w:val="20"/>
          <w:szCs w:val="20"/>
          <w:lang w:val="en-GB"/>
        </w:rPr>
        <w:t>International Journal of the Commons</w:t>
      </w:r>
      <w:r w:rsidRPr="00A17D9B">
        <w:rPr>
          <w:rFonts w:ascii="Garamond" w:hAnsi="Garamond"/>
          <w:noProof/>
          <w:sz w:val="20"/>
          <w:szCs w:val="20"/>
          <w:lang w:val="en-GB"/>
        </w:rPr>
        <w:t>, 5/1, 1-8</w:t>
      </w:r>
    </w:p>
    <w:p w14:paraId="601378B4" w14:textId="72525CD0" w:rsidR="0086346F" w:rsidRPr="00A17D9B" w:rsidRDefault="0086346F" w:rsidP="0086346F">
      <w:pPr>
        <w:spacing w:after="0" w:line="240" w:lineRule="auto"/>
        <w:ind w:left="510" w:hanging="510"/>
        <w:rPr>
          <w:rFonts w:ascii="Garamond" w:hAnsi="Garamond" w:cs="Segoe UI"/>
          <w:color w:val="222222"/>
          <w:sz w:val="20"/>
          <w:szCs w:val="20"/>
          <w:shd w:val="clear" w:color="auto" w:fill="FFFFFF"/>
          <w:lang w:val="en-US"/>
        </w:rPr>
      </w:pPr>
      <w:proofErr w:type="spellStart"/>
      <w:r w:rsidRPr="00A17D9B">
        <w:rPr>
          <w:rFonts w:ascii="Garamond" w:hAnsi="Garamond" w:cs="Segoe UI"/>
          <w:smallCaps/>
          <w:color w:val="222222"/>
          <w:sz w:val="20"/>
          <w:szCs w:val="20"/>
          <w:shd w:val="clear" w:color="auto" w:fill="FFFFFF"/>
          <w:lang w:val="en-US"/>
        </w:rPr>
        <w:t>Wiedermann</w:t>
      </w:r>
      <w:proofErr w:type="spellEnd"/>
      <w:r w:rsidRPr="00A17D9B">
        <w:rPr>
          <w:rFonts w:ascii="Garamond" w:hAnsi="Garamond" w:cs="Segoe UI"/>
          <w:smallCaps/>
          <w:color w:val="222222"/>
          <w:sz w:val="20"/>
          <w:szCs w:val="20"/>
          <w:shd w:val="clear" w:color="auto" w:fill="FFFFFF"/>
          <w:lang w:val="en-US"/>
        </w:rPr>
        <w:t xml:space="preserve">, M., Smith, E.K., </w:t>
      </w:r>
      <w:proofErr w:type="spellStart"/>
      <w:r w:rsidRPr="00A17D9B">
        <w:rPr>
          <w:rFonts w:ascii="Garamond" w:hAnsi="Garamond" w:cs="Segoe UI"/>
          <w:smallCaps/>
          <w:color w:val="222222"/>
          <w:sz w:val="20"/>
          <w:szCs w:val="20"/>
          <w:shd w:val="clear" w:color="auto" w:fill="FFFFFF"/>
          <w:lang w:val="en-US"/>
        </w:rPr>
        <w:t>Heitzig</w:t>
      </w:r>
      <w:proofErr w:type="spellEnd"/>
      <w:r w:rsidRPr="00A17D9B">
        <w:rPr>
          <w:rFonts w:ascii="Garamond" w:hAnsi="Garamond" w:cs="Segoe UI"/>
          <w:smallCaps/>
          <w:color w:val="222222"/>
          <w:sz w:val="20"/>
          <w:szCs w:val="20"/>
          <w:shd w:val="clear" w:color="auto" w:fill="FFFFFF"/>
          <w:lang w:val="en-US"/>
        </w:rPr>
        <w:t>,</w:t>
      </w:r>
      <w:r w:rsidRPr="00A17D9B">
        <w:rPr>
          <w:rFonts w:ascii="Garamond" w:hAnsi="Garamond" w:cs="Segoe UI"/>
          <w:color w:val="222222"/>
          <w:sz w:val="20"/>
          <w:szCs w:val="20"/>
          <w:shd w:val="clear" w:color="auto" w:fill="FFFFFF"/>
          <w:lang w:val="en-US"/>
        </w:rPr>
        <w:t xml:space="preserve"> J. (2020),</w:t>
      </w:r>
      <w:r w:rsidRPr="00A17D9B">
        <w:rPr>
          <w:rFonts w:ascii="Garamond" w:hAnsi="Garamond" w:cs="Segoe UI"/>
          <w:i/>
          <w:iCs/>
          <w:color w:val="222222"/>
          <w:sz w:val="20"/>
          <w:szCs w:val="20"/>
          <w:shd w:val="clear" w:color="auto" w:fill="FFFFFF"/>
          <w:lang w:val="en-US"/>
        </w:rPr>
        <w:t xml:space="preserve"> </w:t>
      </w:r>
      <w:r w:rsidR="00E51132" w:rsidRPr="00A17D9B">
        <w:rPr>
          <w:rFonts w:ascii="Garamond" w:hAnsi="Garamond" w:cs="Segoe UI"/>
          <w:color w:val="222222"/>
          <w:sz w:val="20"/>
          <w:szCs w:val="20"/>
          <w:shd w:val="clear" w:color="auto" w:fill="FFFFFF"/>
          <w:lang w:val="en-US"/>
        </w:rPr>
        <w:t xml:space="preserve">“A Network-Based </w:t>
      </w:r>
      <w:proofErr w:type="spellStart"/>
      <w:r w:rsidR="00B912C5" w:rsidRPr="00A17D9B">
        <w:rPr>
          <w:rFonts w:ascii="Garamond" w:hAnsi="Garamond" w:cs="Segoe UI"/>
          <w:color w:val="222222"/>
          <w:sz w:val="20"/>
          <w:szCs w:val="20"/>
          <w:shd w:val="clear" w:color="auto" w:fill="FFFFFF"/>
          <w:lang w:val="en-US"/>
        </w:rPr>
        <w:t>m</w:t>
      </w:r>
      <w:r w:rsidRPr="00A17D9B">
        <w:rPr>
          <w:rFonts w:ascii="Garamond" w:hAnsi="Garamond" w:cs="Segoe UI"/>
          <w:color w:val="222222"/>
          <w:sz w:val="20"/>
          <w:szCs w:val="20"/>
          <w:shd w:val="clear" w:color="auto" w:fill="FFFFFF"/>
          <w:lang w:val="en-US"/>
        </w:rPr>
        <w:t>i</w:t>
      </w:r>
      <w:r w:rsidR="00E51132" w:rsidRPr="00A17D9B">
        <w:rPr>
          <w:rFonts w:ascii="Garamond" w:hAnsi="Garamond" w:cs="Segoe UI"/>
          <w:color w:val="222222"/>
          <w:sz w:val="20"/>
          <w:szCs w:val="20"/>
          <w:shd w:val="clear" w:color="auto" w:fill="FFFFFF"/>
          <w:lang w:val="en-US"/>
        </w:rPr>
        <w:t>crofoundation</w:t>
      </w:r>
      <w:proofErr w:type="spellEnd"/>
      <w:r w:rsidR="00E51132" w:rsidRPr="00A17D9B">
        <w:rPr>
          <w:rFonts w:ascii="Garamond" w:hAnsi="Garamond" w:cs="Segoe UI"/>
          <w:color w:val="222222"/>
          <w:sz w:val="20"/>
          <w:szCs w:val="20"/>
          <w:shd w:val="clear" w:color="auto" w:fill="FFFFFF"/>
          <w:lang w:val="en-US"/>
        </w:rPr>
        <w:t xml:space="preserve"> of </w:t>
      </w:r>
      <w:proofErr w:type="spellStart"/>
      <w:r w:rsidR="00E51132" w:rsidRPr="00A17D9B">
        <w:rPr>
          <w:rFonts w:ascii="Garamond" w:hAnsi="Garamond" w:cs="Segoe UI"/>
          <w:color w:val="222222"/>
          <w:sz w:val="20"/>
          <w:szCs w:val="20"/>
          <w:shd w:val="clear" w:color="auto" w:fill="FFFFFF"/>
          <w:lang w:val="en-US"/>
        </w:rPr>
        <w:t>Granovetter’s</w:t>
      </w:r>
      <w:proofErr w:type="spellEnd"/>
      <w:r w:rsidR="00E51132" w:rsidRPr="00A17D9B">
        <w:rPr>
          <w:rFonts w:ascii="Garamond" w:hAnsi="Garamond" w:cs="Segoe UI"/>
          <w:color w:val="222222"/>
          <w:sz w:val="20"/>
          <w:szCs w:val="20"/>
          <w:shd w:val="clear" w:color="auto" w:fill="FFFFFF"/>
          <w:lang w:val="en-US"/>
        </w:rPr>
        <w:t xml:space="preserve"> </w:t>
      </w:r>
      <w:r w:rsidR="00B912C5" w:rsidRPr="00A17D9B">
        <w:rPr>
          <w:rFonts w:ascii="Garamond" w:hAnsi="Garamond" w:cs="Segoe UI"/>
          <w:color w:val="222222"/>
          <w:sz w:val="20"/>
          <w:szCs w:val="20"/>
          <w:shd w:val="clear" w:color="auto" w:fill="FFFFFF"/>
          <w:lang w:val="en-US"/>
        </w:rPr>
        <w:t>t</w:t>
      </w:r>
      <w:r w:rsidR="00E51132" w:rsidRPr="00A17D9B">
        <w:rPr>
          <w:rFonts w:ascii="Garamond" w:hAnsi="Garamond" w:cs="Segoe UI"/>
          <w:color w:val="222222"/>
          <w:sz w:val="20"/>
          <w:szCs w:val="20"/>
          <w:shd w:val="clear" w:color="auto" w:fill="FFFFFF"/>
          <w:lang w:val="en-US"/>
        </w:rPr>
        <w:t xml:space="preserve">hreshold </w:t>
      </w:r>
      <w:r w:rsidR="00B912C5" w:rsidRPr="00A17D9B">
        <w:rPr>
          <w:rFonts w:ascii="Garamond" w:hAnsi="Garamond" w:cs="Segoe UI"/>
          <w:color w:val="222222"/>
          <w:sz w:val="20"/>
          <w:szCs w:val="20"/>
          <w:shd w:val="clear" w:color="auto" w:fill="FFFFFF"/>
          <w:lang w:val="en-US"/>
        </w:rPr>
        <w:t>m</w:t>
      </w:r>
      <w:r w:rsidR="00E51132" w:rsidRPr="00A17D9B">
        <w:rPr>
          <w:rFonts w:ascii="Garamond" w:hAnsi="Garamond" w:cs="Segoe UI"/>
          <w:color w:val="222222"/>
          <w:sz w:val="20"/>
          <w:szCs w:val="20"/>
          <w:shd w:val="clear" w:color="auto" w:fill="FFFFFF"/>
          <w:lang w:val="en-US"/>
        </w:rPr>
        <w:t xml:space="preserve">odel for </w:t>
      </w:r>
      <w:r w:rsidR="00B912C5" w:rsidRPr="00A17D9B">
        <w:rPr>
          <w:rFonts w:ascii="Garamond" w:hAnsi="Garamond" w:cs="Segoe UI"/>
          <w:color w:val="222222"/>
          <w:sz w:val="20"/>
          <w:szCs w:val="20"/>
          <w:shd w:val="clear" w:color="auto" w:fill="FFFFFF"/>
          <w:lang w:val="en-US"/>
        </w:rPr>
        <w:t>s</w:t>
      </w:r>
      <w:r w:rsidR="00E51132" w:rsidRPr="00A17D9B">
        <w:rPr>
          <w:rFonts w:ascii="Garamond" w:hAnsi="Garamond" w:cs="Segoe UI"/>
          <w:color w:val="222222"/>
          <w:sz w:val="20"/>
          <w:szCs w:val="20"/>
          <w:shd w:val="clear" w:color="auto" w:fill="FFFFFF"/>
          <w:lang w:val="en-US"/>
        </w:rPr>
        <w:t xml:space="preserve">ocial </w:t>
      </w:r>
      <w:r w:rsidR="00B912C5" w:rsidRPr="00A17D9B">
        <w:rPr>
          <w:rFonts w:ascii="Garamond" w:hAnsi="Garamond" w:cs="Segoe UI"/>
          <w:color w:val="222222"/>
          <w:sz w:val="20"/>
          <w:szCs w:val="20"/>
          <w:shd w:val="clear" w:color="auto" w:fill="FFFFFF"/>
          <w:lang w:val="en-US"/>
        </w:rPr>
        <w:t>t</w:t>
      </w:r>
      <w:r w:rsidRPr="00A17D9B">
        <w:rPr>
          <w:rFonts w:ascii="Garamond" w:hAnsi="Garamond" w:cs="Segoe UI"/>
          <w:color w:val="222222"/>
          <w:sz w:val="20"/>
          <w:szCs w:val="20"/>
          <w:shd w:val="clear" w:color="auto" w:fill="FFFFFF"/>
          <w:lang w:val="en-US"/>
        </w:rPr>
        <w:t xml:space="preserve">ipping” in </w:t>
      </w:r>
      <w:r w:rsidRPr="00A17D9B">
        <w:rPr>
          <w:rFonts w:ascii="Garamond" w:hAnsi="Garamond" w:cs="Segoe UI"/>
          <w:i/>
          <w:iCs/>
          <w:color w:val="222222"/>
          <w:sz w:val="20"/>
          <w:szCs w:val="20"/>
          <w:shd w:val="clear" w:color="auto" w:fill="FFFFFF"/>
          <w:lang w:val="en-US"/>
        </w:rPr>
        <w:t>Scientific Report 10</w:t>
      </w:r>
      <w:r w:rsidRPr="00A17D9B">
        <w:rPr>
          <w:rFonts w:ascii="Garamond" w:hAnsi="Garamond" w:cs="Segoe UI"/>
          <w:color w:val="222222"/>
          <w:sz w:val="20"/>
          <w:szCs w:val="20"/>
          <w:shd w:val="clear" w:color="auto" w:fill="FFFFFF"/>
          <w:lang w:val="en-US"/>
        </w:rPr>
        <w:t>/11202.</w:t>
      </w:r>
    </w:p>
    <w:p w14:paraId="660A738B" w14:textId="77777777" w:rsidR="0086346F" w:rsidRPr="00A17D9B" w:rsidRDefault="0086346F" w:rsidP="00453966">
      <w:pPr>
        <w:spacing w:after="0" w:line="240" w:lineRule="auto"/>
        <w:ind w:left="510" w:hanging="510"/>
        <w:rPr>
          <w:rFonts w:ascii="Garamond" w:hAnsi="Garamond"/>
          <w:noProof/>
          <w:sz w:val="20"/>
          <w:szCs w:val="20"/>
          <w:lang w:val="en-GB"/>
        </w:rPr>
      </w:pPr>
      <w:r w:rsidRPr="00A17D9B">
        <w:rPr>
          <w:rFonts w:ascii="Garamond" w:hAnsi="Garamond"/>
          <w:smallCaps/>
          <w:noProof/>
          <w:sz w:val="20"/>
          <w:szCs w:val="20"/>
          <w:lang w:val="en-GB"/>
        </w:rPr>
        <w:t>Zamagni</w:t>
      </w:r>
      <w:r w:rsidRPr="00A17D9B">
        <w:rPr>
          <w:rFonts w:ascii="Garamond" w:hAnsi="Garamond"/>
          <w:noProof/>
          <w:sz w:val="20"/>
          <w:szCs w:val="20"/>
          <w:lang w:val="en-GB"/>
        </w:rPr>
        <w:t xml:space="preserve"> S. (2018), "The common good and the civil economy", In Nebel &amp; Collaud (Eds), Searching for the common good, Baden-Baden, Nomos Verlag, 2018, 79-98.</w:t>
      </w:r>
    </w:p>
    <w:p w14:paraId="39FF99C0" w14:textId="495352C2" w:rsidR="00756AB2" w:rsidRPr="00A17D9B" w:rsidRDefault="0086346F" w:rsidP="00453966">
      <w:pPr>
        <w:spacing w:after="0" w:line="240" w:lineRule="auto"/>
        <w:ind w:left="510" w:hanging="510"/>
        <w:rPr>
          <w:rFonts w:ascii="Garamond" w:hAnsi="Garamond"/>
          <w:noProof/>
          <w:sz w:val="20"/>
          <w:szCs w:val="20"/>
          <w:lang w:val="en-GB"/>
        </w:rPr>
      </w:pPr>
      <w:r w:rsidRPr="00A17D9B">
        <w:rPr>
          <w:rFonts w:ascii="Garamond" w:hAnsi="Garamond"/>
          <w:smallCaps/>
          <w:noProof/>
          <w:sz w:val="20"/>
          <w:szCs w:val="20"/>
          <w:lang w:val="en-GB"/>
        </w:rPr>
        <w:t>Zamagni S., Bruni</w:t>
      </w:r>
      <w:r w:rsidRPr="00A17D9B">
        <w:rPr>
          <w:rFonts w:ascii="Garamond" w:hAnsi="Garamond"/>
          <w:noProof/>
          <w:sz w:val="20"/>
          <w:szCs w:val="20"/>
          <w:lang w:val="en-GB"/>
        </w:rPr>
        <w:t xml:space="preserve"> L. (2007), </w:t>
      </w:r>
      <w:r w:rsidRPr="00A17D9B">
        <w:rPr>
          <w:rFonts w:ascii="Garamond" w:hAnsi="Garamond"/>
          <w:i/>
          <w:iCs/>
          <w:noProof/>
          <w:sz w:val="20"/>
          <w:szCs w:val="20"/>
          <w:lang w:val="en-GB"/>
        </w:rPr>
        <w:t>Civil economy: efficiency, equity, public happiness</w:t>
      </w:r>
      <w:r w:rsidRPr="00A17D9B">
        <w:rPr>
          <w:rFonts w:ascii="Garamond" w:hAnsi="Garamond"/>
          <w:noProof/>
          <w:sz w:val="20"/>
          <w:szCs w:val="20"/>
          <w:lang w:val="en-GB"/>
        </w:rPr>
        <w:t>. Bern: Peter Lang.</w:t>
      </w:r>
    </w:p>
    <w:p w14:paraId="1C9ACAEC" w14:textId="77777777" w:rsidR="00756AB2" w:rsidRPr="00A17D9B" w:rsidRDefault="00756AB2">
      <w:pPr>
        <w:rPr>
          <w:rFonts w:ascii="Garamond" w:hAnsi="Garamond"/>
          <w:noProof/>
          <w:sz w:val="20"/>
          <w:szCs w:val="20"/>
          <w:lang w:val="en-GB"/>
        </w:rPr>
      </w:pPr>
      <w:r w:rsidRPr="00A17D9B">
        <w:rPr>
          <w:rFonts w:ascii="Garamond" w:hAnsi="Garamond"/>
          <w:noProof/>
          <w:sz w:val="20"/>
          <w:szCs w:val="20"/>
          <w:lang w:val="en-GB"/>
        </w:rPr>
        <w:br w:type="page"/>
      </w:r>
    </w:p>
    <w:p w14:paraId="343AE2E8" w14:textId="77777777" w:rsidR="00756AB2" w:rsidRPr="00A17D9B" w:rsidRDefault="00756AB2" w:rsidP="00756AB2">
      <w:pPr>
        <w:spacing w:after="0" w:line="240" w:lineRule="auto"/>
        <w:ind w:left="510" w:hanging="510"/>
        <w:rPr>
          <w:rFonts w:ascii="Garamond" w:hAnsi="Garamond"/>
          <w:i/>
          <w:iCs/>
          <w:noProof/>
          <w:sz w:val="20"/>
          <w:szCs w:val="20"/>
          <w:lang w:val="en-GB"/>
        </w:rPr>
      </w:pPr>
      <w:r w:rsidRPr="00A17D9B">
        <w:rPr>
          <w:rFonts w:ascii="Garamond" w:hAnsi="Garamond"/>
          <w:i/>
          <w:iCs/>
          <w:noProof/>
          <w:sz w:val="20"/>
          <w:szCs w:val="20"/>
          <w:lang w:val="en-GB"/>
        </w:rPr>
        <w:lastRenderedPageBreak/>
        <w:t>Appendix 1. Description of the solution space.</w:t>
      </w:r>
    </w:p>
    <w:p w14:paraId="521F9FC5" w14:textId="77777777" w:rsidR="00756AB2" w:rsidRPr="00756AB2" w:rsidRDefault="00756AB2" w:rsidP="00756AB2">
      <w:pPr>
        <w:spacing w:after="0" w:line="240" w:lineRule="auto"/>
        <w:ind w:left="510" w:hanging="510"/>
        <w:rPr>
          <w:rFonts w:ascii="Garamond" w:hAnsi="Garamond"/>
          <w:noProof/>
          <w:sz w:val="20"/>
          <w:szCs w:val="20"/>
          <w:lang w:val="en-GB"/>
        </w:rPr>
      </w:pPr>
      <w:r w:rsidRPr="00A17D9B">
        <w:rPr>
          <w:rFonts w:ascii="Garamond" w:hAnsi="Garamond"/>
          <w:noProof/>
          <w:sz w:val="20"/>
          <w:szCs w:val="20"/>
        </w:rPr>
        <w:drawing>
          <wp:inline distT="0" distB="0" distL="0" distR="0" wp14:anchorId="224118F7" wp14:editId="0E33BC81">
            <wp:extent cx="6398301" cy="3095625"/>
            <wp:effectExtent l="0" t="0" r="2540" b="0"/>
            <wp:docPr id="233" name="Imagen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36098" cy="3113912"/>
                    </a:xfrm>
                    <a:prstGeom prst="rect">
                      <a:avLst/>
                    </a:prstGeom>
                  </pic:spPr>
                </pic:pic>
              </a:graphicData>
            </a:graphic>
          </wp:inline>
        </w:drawing>
      </w:r>
      <w:r w:rsidRPr="00756AB2">
        <w:rPr>
          <w:rFonts w:ascii="Garamond" w:hAnsi="Garamond"/>
          <w:noProof/>
          <w:sz w:val="20"/>
          <w:szCs w:val="20"/>
          <w:lang w:val="en-GB"/>
        </w:rPr>
        <w:t xml:space="preserve"> </w:t>
      </w:r>
    </w:p>
    <w:p w14:paraId="5648FE5E" w14:textId="77777777" w:rsidR="0086346F" w:rsidRDefault="0086346F" w:rsidP="00453966">
      <w:pPr>
        <w:spacing w:after="0" w:line="240" w:lineRule="auto"/>
        <w:ind w:left="510" w:hanging="510"/>
        <w:rPr>
          <w:rFonts w:ascii="Garamond" w:hAnsi="Garamond"/>
          <w:noProof/>
          <w:sz w:val="20"/>
          <w:szCs w:val="20"/>
          <w:lang w:val="en-GB"/>
        </w:rPr>
      </w:pPr>
    </w:p>
    <w:sectPr w:rsidR="0086346F">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BD903" w14:textId="77777777" w:rsidR="00EB4710" w:rsidRDefault="00EB4710" w:rsidP="00250DEA">
      <w:pPr>
        <w:spacing w:after="0" w:line="240" w:lineRule="auto"/>
      </w:pPr>
      <w:r>
        <w:separator/>
      </w:r>
    </w:p>
  </w:endnote>
  <w:endnote w:type="continuationSeparator" w:id="0">
    <w:p w14:paraId="4D2C74DA" w14:textId="77777777" w:rsidR="00EB4710" w:rsidRDefault="00EB4710" w:rsidP="0025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Roma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9157358"/>
      <w:docPartObj>
        <w:docPartGallery w:val="Page Numbers (Bottom of Page)"/>
        <w:docPartUnique/>
      </w:docPartObj>
    </w:sdtPr>
    <w:sdtEndPr/>
    <w:sdtContent>
      <w:p w14:paraId="54393489" w14:textId="114C6CF5" w:rsidR="00A94733" w:rsidRDefault="00A94733">
        <w:pPr>
          <w:pStyle w:val="Piedepgina"/>
          <w:jc w:val="right"/>
        </w:pPr>
        <w:r>
          <w:fldChar w:fldCharType="begin"/>
        </w:r>
        <w:r>
          <w:instrText>PAGE   \* MERGEFORMAT</w:instrText>
        </w:r>
        <w:r>
          <w:fldChar w:fldCharType="separate"/>
        </w:r>
        <w:r w:rsidR="00B912C5" w:rsidRPr="00B912C5">
          <w:rPr>
            <w:noProof/>
            <w:lang w:val="es-ES"/>
          </w:rPr>
          <w:t>19</w:t>
        </w:r>
        <w:r>
          <w:fldChar w:fldCharType="end"/>
        </w:r>
      </w:p>
    </w:sdtContent>
  </w:sdt>
  <w:p w14:paraId="2E7DCE52" w14:textId="77777777" w:rsidR="00A94733" w:rsidRDefault="00A9473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5F9D6" w14:textId="77777777" w:rsidR="00EB4710" w:rsidRDefault="00EB4710" w:rsidP="00250DEA">
      <w:pPr>
        <w:spacing w:after="0" w:line="240" w:lineRule="auto"/>
      </w:pPr>
      <w:r>
        <w:separator/>
      </w:r>
    </w:p>
  </w:footnote>
  <w:footnote w:type="continuationSeparator" w:id="0">
    <w:p w14:paraId="20029F19" w14:textId="77777777" w:rsidR="00EB4710" w:rsidRDefault="00EB4710" w:rsidP="00250DEA">
      <w:pPr>
        <w:spacing w:after="0" w:line="240" w:lineRule="auto"/>
      </w:pPr>
      <w:r>
        <w:continuationSeparator/>
      </w:r>
    </w:p>
  </w:footnote>
  <w:footnote w:id="1">
    <w:p w14:paraId="27F91DE9" w14:textId="2706C87D" w:rsidR="00A94733" w:rsidRPr="001825F3" w:rsidRDefault="00A94733" w:rsidP="00CD2C63">
      <w:pPr>
        <w:pStyle w:val="Textonotapie"/>
        <w:ind w:firstLine="0"/>
        <w:rPr>
          <w:rFonts w:ascii="Times New Roman" w:hAnsi="Times New Roman" w:cs="Times New Roman"/>
          <w:lang w:val="en-US"/>
        </w:rPr>
      </w:pPr>
      <w:r w:rsidRPr="001825F3">
        <w:rPr>
          <w:rStyle w:val="Refdenotaalpie"/>
          <w:rFonts w:ascii="Times New Roman" w:hAnsi="Times New Roman" w:cs="Times New Roman"/>
        </w:rPr>
        <w:footnoteRef/>
      </w:r>
      <w:r w:rsidRPr="001825F3">
        <w:rPr>
          <w:rFonts w:ascii="Times New Roman" w:hAnsi="Times New Roman" w:cs="Times New Roman"/>
          <w:lang w:val="en-US"/>
        </w:rPr>
        <w:t xml:space="preserve"> Mathias </w:t>
      </w:r>
      <w:proofErr w:type="spellStart"/>
      <w:r w:rsidRPr="001825F3">
        <w:rPr>
          <w:rFonts w:ascii="Times New Roman" w:hAnsi="Times New Roman" w:cs="Times New Roman"/>
          <w:lang w:val="en-US"/>
        </w:rPr>
        <w:t>Nebel</w:t>
      </w:r>
      <w:proofErr w:type="spellEnd"/>
      <w:r w:rsidRPr="001825F3">
        <w:rPr>
          <w:rFonts w:ascii="Times New Roman" w:hAnsi="Times New Roman" w:cs="Times New Roman"/>
          <w:lang w:val="en-US"/>
        </w:rPr>
        <w:t xml:space="preserve"> is a full-time professor of Social Ethics and Christian Social Thought at the Universidad Popular Autónoma del Estado de Puebla. He is the director of the research institute Instituto Promotor del Bien </w:t>
      </w:r>
      <w:proofErr w:type="spellStart"/>
      <w:r w:rsidRPr="001825F3">
        <w:rPr>
          <w:rFonts w:ascii="Times New Roman" w:hAnsi="Times New Roman" w:cs="Times New Roman"/>
          <w:lang w:val="en-US"/>
        </w:rPr>
        <w:t>Común</w:t>
      </w:r>
      <w:proofErr w:type="spellEnd"/>
      <w:r w:rsidRPr="001825F3">
        <w:rPr>
          <w:rFonts w:ascii="Times New Roman" w:hAnsi="Times New Roman" w:cs="Times New Roman"/>
          <w:lang w:val="en-US"/>
        </w:rPr>
        <w:t xml:space="preserve">. </w:t>
      </w:r>
    </w:p>
  </w:footnote>
  <w:footnote w:id="2">
    <w:p w14:paraId="1C35E9C7" w14:textId="78B357EE" w:rsidR="00A94733" w:rsidRPr="001825F3" w:rsidRDefault="00A94733" w:rsidP="00CD2C63">
      <w:pPr>
        <w:pStyle w:val="Textonotapie"/>
        <w:ind w:firstLine="0"/>
        <w:rPr>
          <w:rFonts w:ascii="Times New Roman" w:hAnsi="Times New Roman" w:cs="Times New Roman"/>
          <w:lang w:val="en-US"/>
        </w:rPr>
      </w:pPr>
      <w:r w:rsidRPr="001825F3">
        <w:rPr>
          <w:rStyle w:val="Refdenotaalpie"/>
          <w:rFonts w:ascii="Times New Roman" w:hAnsi="Times New Roman" w:cs="Times New Roman"/>
        </w:rPr>
        <w:footnoteRef/>
      </w:r>
      <w:r w:rsidRPr="001825F3">
        <w:rPr>
          <w:rFonts w:ascii="Times New Roman" w:hAnsi="Times New Roman" w:cs="Times New Roman"/>
          <w:lang w:val="en-US"/>
        </w:rPr>
        <w:t xml:space="preserve"> Ignacio </w:t>
      </w:r>
      <w:proofErr w:type="spellStart"/>
      <w:r w:rsidRPr="001825F3">
        <w:rPr>
          <w:rFonts w:ascii="Times New Roman" w:hAnsi="Times New Roman" w:cs="Times New Roman"/>
          <w:lang w:val="en-US"/>
        </w:rPr>
        <w:t>Arbesu</w:t>
      </w:r>
      <w:proofErr w:type="spellEnd"/>
      <w:r w:rsidRPr="001825F3">
        <w:rPr>
          <w:rFonts w:ascii="Times New Roman" w:hAnsi="Times New Roman" w:cs="Times New Roman"/>
          <w:lang w:val="en-US"/>
        </w:rPr>
        <w:t xml:space="preserve"> is a full-time professor of </w:t>
      </w:r>
      <w:proofErr w:type="spellStart"/>
      <w:r w:rsidRPr="001825F3">
        <w:rPr>
          <w:rFonts w:ascii="Times New Roman" w:hAnsi="Times New Roman" w:cs="Times New Roman"/>
          <w:lang w:val="en-US"/>
        </w:rPr>
        <w:t>Politology</w:t>
      </w:r>
      <w:proofErr w:type="spellEnd"/>
      <w:r w:rsidRPr="001825F3">
        <w:rPr>
          <w:rFonts w:ascii="Times New Roman" w:hAnsi="Times New Roman" w:cs="Times New Roman"/>
          <w:lang w:val="en-US"/>
        </w:rPr>
        <w:t xml:space="preserve"> at the Universidad Popular Autónoma del Estado de Puebla. </w:t>
      </w:r>
    </w:p>
  </w:footnote>
  <w:footnote w:id="3">
    <w:p w14:paraId="1AFB3BD4" w14:textId="77777777" w:rsidR="00A94733" w:rsidRPr="001825F3" w:rsidRDefault="00A94733" w:rsidP="00BD5D02">
      <w:pPr>
        <w:pStyle w:val="Textonotapie"/>
        <w:ind w:firstLine="0"/>
        <w:jc w:val="left"/>
        <w:rPr>
          <w:rFonts w:ascii="Times New Roman" w:hAnsi="Times New Roman" w:cs="Times New Roman"/>
          <w:lang w:val="en-US"/>
        </w:rPr>
      </w:pPr>
      <w:r w:rsidRPr="001825F3">
        <w:rPr>
          <w:rStyle w:val="Refdenotaalpie"/>
          <w:rFonts w:ascii="Times New Roman" w:hAnsi="Times New Roman" w:cs="Times New Roman"/>
        </w:rPr>
        <w:footnoteRef/>
      </w:r>
      <w:r w:rsidRPr="001825F3">
        <w:rPr>
          <w:rFonts w:ascii="Times New Roman" w:hAnsi="Times New Roman" w:cs="Times New Roman"/>
          <w:lang w:val="en-US"/>
        </w:rPr>
        <w:t xml:space="preserve"> CONEVAL has a multidimensional approach to poverty, using ‘income’, ‘educational lag’, ‘lack of access to health services’, ‘lack of access to social security’, ‘inadequate housing’, ‘lack of access to food’ and ‘degree of social cohesion’ as indicators to identify poverty. </w:t>
      </w:r>
      <w:r w:rsidRPr="001825F3">
        <w:rPr>
          <w:rFonts w:ascii="Times New Roman" w:hAnsi="Times New Roman" w:cs="Times New Roman"/>
          <w:szCs w:val="24"/>
          <w:lang w:val="en-GB"/>
        </w:rPr>
        <w:t>For an individual to be considered poor, one or more of these social deprivations must be present.</w:t>
      </w:r>
    </w:p>
  </w:footnote>
  <w:footnote w:id="4">
    <w:p w14:paraId="576D98A7" w14:textId="297E1C46" w:rsidR="00A94733" w:rsidRPr="001825F3" w:rsidRDefault="00A94733" w:rsidP="008B6C9C">
      <w:pPr>
        <w:pStyle w:val="Textonotapie"/>
        <w:ind w:firstLine="0"/>
        <w:jc w:val="left"/>
        <w:rPr>
          <w:rFonts w:ascii="Times New Roman" w:hAnsi="Times New Roman" w:cs="Times New Roman"/>
          <w:lang w:val="en-US"/>
        </w:rPr>
      </w:pPr>
      <w:r w:rsidRPr="001825F3">
        <w:rPr>
          <w:rStyle w:val="Refdenotaalpie"/>
          <w:rFonts w:ascii="Times New Roman" w:hAnsi="Times New Roman" w:cs="Times New Roman"/>
        </w:rPr>
        <w:footnoteRef/>
      </w:r>
      <w:r w:rsidRPr="001825F3">
        <w:rPr>
          <w:rFonts w:ascii="Times New Roman" w:hAnsi="Times New Roman" w:cs="Times New Roman"/>
          <w:lang w:val="en-US"/>
        </w:rPr>
        <w:t xml:space="preserve"> Basically, goods you can’t reduce to a sum/aggregation of individual goods. Charles </w:t>
      </w:r>
      <w:r w:rsidRPr="001825F3">
        <w:rPr>
          <w:rFonts w:ascii="Times New Roman" w:hAnsi="Times New Roman" w:cs="Times New Roman"/>
          <w:smallCaps/>
          <w:lang w:val="en-US"/>
        </w:rPr>
        <w:t>Taylor</w:t>
      </w:r>
      <w:r w:rsidRPr="001825F3">
        <w:rPr>
          <w:rFonts w:ascii="Times New Roman" w:hAnsi="Times New Roman" w:cs="Times New Roman"/>
          <w:lang w:val="en-US"/>
        </w:rPr>
        <w:t xml:space="preserve">, </w:t>
      </w:r>
      <w:r w:rsidRPr="001825F3">
        <w:rPr>
          <w:rFonts w:ascii="Times New Roman" w:hAnsi="Times New Roman" w:cs="Times New Roman"/>
          <w:i/>
          <w:lang w:val="en-US"/>
        </w:rPr>
        <w:t>Philosophical arguments</w:t>
      </w:r>
      <w:r w:rsidRPr="001825F3">
        <w:rPr>
          <w:rFonts w:ascii="Times New Roman" w:hAnsi="Times New Roman" w:cs="Times New Roman"/>
          <w:lang w:val="en-US"/>
        </w:rPr>
        <w:t>, Cambridge, Harvard University Press, 1995, Chap. 7: Irreducibly Social Goods.</w:t>
      </w:r>
    </w:p>
  </w:footnote>
  <w:footnote w:id="5">
    <w:p w14:paraId="54060DCC" w14:textId="72F08C3D" w:rsidR="00A94733" w:rsidRPr="001825F3" w:rsidRDefault="00A94733" w:rsidP="00BD5D02">
      <w:pPr>
        <w:pStyle w:val="Textonotapie"/>
        <w:ind w:firstLine="0"/>
        <w:jc w:val="left"/>
        <w:rPr>
          <w:rFonts w:ascii="Times New Roman" w:hAnsi="Times New Roman" w:cs="Times New Roman"/>
          <w:lang w:val="en-US"/>
        </w:rPr>
      </w:pPr>
      <w:r w:rsidRPr="001825F3">
        <w:rPr>
          <w:rStyle w:val="Refdenotaalpie"/>
          <w:rFonts w:ascii="Times New Roman" w:hAnsi="Times New Roman" w:cs="Times New Roman"/>
        </w:rPr>
        <w:footnoteRef/>
      </w:r>
      <w:r w:rsidRPr="001825F3">
        <w:rPr>
          <w:rFonts w:ascii="Times New Roman" w:hAnsi="Times New Roman" w:cs="Times New Roman"/>
          <w:lang w:val="en-US"/>
        </w:rPr>
        <w:t xml:space="preserve"> </w:t>
      </w:r>
      <w:r w:rsidRPr="001825F3">
        <w:rPr>
          <w:rFonts w:ascii="Times New Roman" w:eastAsia="Garamond" w:hAnsi="Times New Roman" w:cs="Times New Roman"/>
          <w:lang w:val="en-GB"/>
        </w:rPr>
        <w:t xml:space="preserve">Two large set of studies empirically ground the matrix. The first is related to the work done by Ostrom and the International Association for the Study of the Commons (IASC). The second are the so-called Community Based or Driven Development Programs (CBD &amp; CDD). The experience gained from both set of empirical studies served to create our matrix of common good dynamics. </w:t>
      </w:r>
    </w:p>
  </w:footnote>
  <w:footnote w:id="6">
    <w:p w14:paraId="66D0AB04" w14:textId="77777777" w:rsidR="00A94733" w:rsidRPr="001825F3" w:rsidRDefault="00A94733" w:rsidP="00BD5D02">
      <w:pPr>
        <w:pStyle w:val="Textonotapie"/>
        <w:ind w:firstLine="0"/>
        <w:jc w:val="left"/>
        <w:rPr>
          <w:rFonts w:ascii="Times New Roman" w:hAnsi="Times New Roman" w:cs="Times New Roman"/>
          <w:lang w:val="en-US"/>
        </w:rPr>
      </w:pPr>
      <w:r w:rsidRPr="001825F3">
        <w:rPr>
          <w:rStyle w:val="Refdenotaalpie"/>
          <w:rFonts w:ascii="Times New Roman" w:hAnsi="Times New Roman" w:cs="Times New Roman"/>
        </w:rPr>
        <w:footnoteRef/>
      </w:r>
      <w:r w:rsidRPr="001825F3">
        <w:rPr>
          <w:rFonts w:ascii="Times New Roman" w:hAnsi="Times New Roman" w:cs="Times New Roman"/>
          <w:lang w:val="en-US"/>
        </w:rPr>
        <w:t xml:space="preserve"> The list is loosely inspired by the International Covenant on Economic, Social and Cultural Rights (ICESCR, 1976). Collective rights may indeed be understood as protecting common goods. </w:t>
      </w:r>
    </w:p>
  </w:footnote>
  <w:footnote w:id="7">
    <w:p w14:paraId="5CD1494D" w14:textId="4BAEF9EF" w:rsidR="00A94733" w:rsidRPr="001825F3" w:rsidRDefault="00A94733" w:rsidP="000D4350">
      <w:pPr>
        <w:pStyle w:val="Textonotapie"/>
        <w:ind w:firstLine="0"/>
        <w:rPr>
          <w:rFonts w:ascii="Times New Roman" w:hAnsi="Times New Roman" w:cs="Times New Roman"/>
          <w:lang w:val="en-US"/>
        </w:rPr>
      </w:pPr>
      <w:r w:rsidRPr="001825F3">
        <w:rPr>
          <w:rStyle w:val="Refdenotaalpie"/>
          <w:rFonts w:ascii="Times New Roman" w:hAnsi="Times New Roman" w:cs="Times New Roman"/>
        </w:rPr>
        <w:footnoteRef/>
      </w:r>
      <w:r w:rsidRPr="001825F3">
        <w:rPr>
          <w:rFonts w:ascii="Times New Roman" w:hAnsi="Times New Roman" w:cs="Times New Roman"/>
          <w:lang w:val="en-US"/>
        </w:rPr>
        <w:t xml:space="preserve"> As a basic common good culture must consider: a. The community that values and defines it as a common good; b. The formal and informal interactions by which the common memory and traditions, language and values are inhabited by a given population; c. The common benefit created by these interactions </w:t>
      </w:r>
    </w:p>
  </w:footnote>
  <w:footnote w:id="8">
    <w:p w14:paraId="71A6F2A9" w14:textId="12B71E9E" w:rsidR="00A94733" w:rsidRPr="001825F3" w:rsidRDefault="00A94733" w:rsidP="000D4350">
      <w:pPr>
        <w:pStyle w:val="Textonotapie"/>
        <w:ind w:firstLine="0"/>
        <w:rPr>
          <w:rFonts w:ascii="Times New Roman" w:hAnsi="Times New Roman" w:cs="Times New Roman"/>
          <w:lang w:val="en-US"/>
        </w:rPr>
      </w:pPr>
      <w:r w:rsidRPr="001825F3">
        <w:rPr>
          <w:rStyle w:val="Refdenotaalpie"/>
          <w:rFonts w:ascii="Times New Roman" w:hAnsi="Times New Roman" w:cs="Times New Roman"/>
        </w:rPr>
        <w:footnoteRef/>
      </w:r>
      <w:r w:rsidRPr="001825F3">
        <w:rPr>
          <w:rFonts w:ascii="Times New Roman" w:hAnsi="Times New Roman" w:cs="Times New Roman"/>
          <w:lang w:val="en-US"/>
        </w:rPr>
        <w:t xml:space="preserve"> As a basic common good, education must consider: a) The community that values and defines it as a common good; b) The formal and informal interactions trough which education is conveyed from one generation to the other; c) The common benefit created by these interactions and how it must be used and shared.</w:t>
      </w:r>
    </w:p>
  </w:footnote>
  <w:footnote w:id="9">
    <w:p w14:paraId="2D8A4B85" w14:textId="7AED9164" w:rsidR="00A94733" w:rsidRPr="001825F3" w:rsidRDefault="00A94733" w:rsidP="000D4350">
      <w:pPr>
        <w:pStyle w:val="Textonotapie"/>
        <w:ind w:firstLine="0"/>
        <w:rPr>
          <w:rFonts w:ascii="Times New Roman" w:hAnsi="Times New Roman" w:cs="Times New Roman"/>
          <w:lang w:val="en-US"/>
        </w:rPr>
      </w:pPr>
      <w:r w:rsidRPr="001825F3">
        <w:rPr>
          <w:rStyle w:val="Refdenotaalpie"/>
          <w:rFonts w:ascii="Times New Roman" w:hAnsi="Times New Roman" w:cs="Times New Roman"/>
        </w:rPr>
        <w:footnoteRef/>
      </w:r>
      <w:r w:rsidRPr="001825F3">
        <w:rPr>
          <w:rFonts w:ascii="Times New Roman" w:hAnsi="Times New Roman" w:cs="Times New Roman"/>
          <w:lang w:val="en-US"/>
        </w:rPr>
        <w:t xml:space="preserve"> As a basic common good solidarity must consider: a. The community that values and defines it as a common good; b. The formal and informal interactions safeguarding each other in times of need or distress in a society; c. The common benefit created by these interactions, the legitimate use of solidarity and its distribution among the population. </w:t>
      </w:r>
    </w:p>
  </w:footnote>
  <w:footnote w:id="10">
    <w:p w14:paraId="661974B2" w14:textId="07882E3D" w:rsidR="00A94733" w:rsidRPr="001825F3" w:rsidRDefault="00A94733" w:rsidP="000D4350">
      <w:pPr>
        <w:pStyle w:val="Textonotapie"/>
        <w:ind w:firstLine="0"/>
        <w:rPr>
          <w:rFonts w:ascii="Times New Roman" w:hAnsi="Times New Roman" w:cs="Times New Roman"/>
          <w:lang w:val="en-US"/>
        </w:rPr>
      </w:pPr>
      <w:r w:rsidRPr="001825F3">
        <w:rPr>
          <w:rStyle w:val="Refdenotaalpie"/>
          <w:rFonts w:ascii="Times New Roman" w:hAnsi="Times New Roman" w:cs="Times New Roman"/>
        </w:rPr>
        <w:footnoteRef/>
      </w:r>
      <w:r w:rsidRPr="001825F3">
        <w:rPr>
          <w:rFonts w:ascii="Times New Roman" w:hAnsi="Times New Roman" w:cs="Times New Roman"/>
          <w:lang w:val="en-US"/>
        </w:rPr>
        <w:t xml:space="preserve"> As a basic common good work must consider: a. The community that values and defines it as a common good; b. The formal and informal interactions by which work is socialized; c. The common benefit created by these interactions, the legitimate use of work and its distribution among the population. </w:t>
      </w:r>
    </w:p>
  </w:footnote>
  <w:footnote w:id="11">
    <w:p w14:paraId="7C15E329" w14:textId="0E629D39" w:rsidR="00A94733" w:rsidRPr="001825F3" w:rsidRDefault="00A94733" w:rsidP="00FF479E">
      <w:pPr>
        <w:pStyle w:val="Textonotapie"/>
        <w:ind w:firstLine="0"/>
        <w:rPr>
          <w:rFonts w:ascii="Times New Roman" w:hAnsi="Times New Roman" w:cs="Times New Roman"/>
          <w:lang w:val="en-US"/>
        </w:rPr>
      </w:pPr>
      <w:r w:rsidRPr="001825F3">
        <w:rPr>
          <w:rStyle w:val="Refdenotaalpie"/>
          <w:rFonts w:ascii="Times New Roman" w:hAnsi="Times New Roman" w:cs="Times New Roman"/>
        </w:rPr>
        <w:footnoteRef/>
      </w:r>
      <w:r w:rsidRPr="001825F3">
        <w:rPr>
          <w:rFonts w:ascii="Times New Roman" w:hAnsi="Times New Roman" w:cs="Times New Roman"/>
          <w:lang w:val="en-US"/>
        </w:rPr>
        <w:t xml:space="preserve"> </w:t>
      </w:r>
      <w:r w:rsidRPr="001825F3">
        <w:rPr>
          <w:rFonts w:ascii="Times New Roman" w:hAnsi="Times New Roman" w:cs="Times New Roman"/>
          <w:lang w:val="en-GB"/>
        </w:rPr>
        <w:t>As a basic common good rule of law must consider: a. The community that values and defines it as a common good; b. The formal and informal interactions by which a fair recognition of our common dignity and freedoms is enacted in a population, more specifically how a set of basic rights and freedoms is guaranteed, upheld and enforced by the state; c. The common benefit created by these interactions.</w:t>
      </w:r>
    </w:p>
  </w:footnote>
  <w:footnote w:id="12">
    <w:p w14:paraId="48A16F45" w14:textId="3B43AA9C" w:rsidR="00EA34CA" w:rsidRPr="001825F3" w:rsidRDefault="00EA34CA" w:rsidP="00EA34CA">
      <w:pPr>
        <w:pStyle w:val="Textonotapie"/>
        <w:ind w:firstLine="0"/>
        <w:rPr>
          <w:rFonts w:ascii="Times New Roman" w:hAnsi="Times New Roman" w:cs="Times New Roman"/>
          <w:lang w:val="en-US"/>
        </w:rPr>
      </w:pPr>
      <w:r w:rsidRPr="001825F3">
        <w:rPr>
          <w:rStyle w:val="Refdenotaalpie"/>
          <w:rFonts w:ascii="Times New Roman" w:hAnsi="Times New Roman" w:cs="Times New Roman"/>
        </w:rPr>
        <w:footnoteRef/>
      </w:r>
      <w:r w:rsidRPr="001825F3">
        <w:rPr>
          <w:rFonts w:ascii="Times New Roman" w:hAnsi="Times New Roman" w:cs="Times New Roman"/>
          <w:lang w:val="en-US"/>
        </w:rPr>
        <w:t xml:space="preserve"> </w:t>
      </w:r>
      <w:r w:rsidR="005F7EAE" w:rsidRPr="001825F3">
        <w:rPr>
          <w:rFonts w:ascii="Times New Roman" w:hAnsi="Times New Roman" w:cs="Times New Roman"/>
          <w:lang w:val="en-US"/>
        </w:rPr>
        <w:t>M</w:t>
      </w:r>
      <w:r w:rsidRPr="001825F3">
        <w:rPr>
          <w:rFonts w:ascii="Times New Roman" w:hAnsi="Times New Roman" w:cs="Times New Roman"/>
          <w:lang w:val="en-US"/>
        </w:rPr>
        <w:t xml:space="preserve">unicipalities </w:t>
      </w:r>
      <w:r w:rsidR="005F7EAE" w:rsidRPr="001825F3">
        <w:rPr>
          <w:rFonts w:ascii="Times New Roman" w:hAnsi="Times New Roman" w:cs="Times New Roman"/>
          <w:lang w:val="en-US"/>
        </w:rPr>
        <w:t xml:space="preserve">conform </w:t>
      </w:r>
      <w:r w:rsidRPr="001825F3">
        <w:rPr>
          <w:rFonts w:ascii="Times New Roman" w:hAnsi="Times New Roman" w:cs="Times New Roman"/>
          <w:lang w:val="en-US"/>
        </w:rPr>
        <w:t>the third and lower level of state governance</w:t>
      </w:r>
      <w:r w:rsidR="005F7EAE" w:rsidRPr="001825F3">
        <w:rPr>
          <w:rFonts w:ascii="Times New Roman" w:hAnsi="Times New Roman" w:cs="Times New Roman"/>
          <w:lang w:val="en-US"/>
        </w:rPr>
        <w:t xml:space="preserve"> in Mexico</w:t>
      </w:r>
      <w:r w:rsidRPr="001825F3">
        <w:rPr>
          <w:rFonts w:ascii="Times New Roman" w:hAnsi="Times New Roman" w:cs="Times New Roman"/>
          <w:lang w:val="en-US"/>
        </w:rPr>
        <w:t xml:space="preserve">. While Mexico is a Federal State and nominally recognizes decentralization as one of the State’s core principles, </w:t>
      </w:r>
      <w:r w:rsidR="005F7EAE" w:rsidRPr="001825F3">
        <w:rPr>
          <w:rFonts w:ascii="Times New Roman" w:hAnsi="Times New Roman" w:cs="Times New Roman"/>
          <w:lang w:val="en-US"/>
        </w:rPr>
        <w:t>it is in fact highly centralized. Therefore, while the constitution recognizes many specific obligations to municipalities taxes are collected at the federal level and only distributed to municipalities according to the priorities of the federal state.</w:t>
      </w:r>
      <w:r w:rsidR="00E93EFA" w:rsidRPr="001825F3">
        <w:rPr>
          <w:rFonts w:ascii="Times New Roman" w:hAnsi="Times New Roman" w:cs="Times New Roman"/>
          <w:lang w:val="en-US"/>
        </w:rPr>
        <w:t xml:space="preserve"> Without access to proper funding, many local initiatives can’t be developed.</w:t>
      </w:r>
      <w:r w:rsidR="005F7EAE" w:rsidRPr="001825F3">
        <w:rPr>
          <w:rFonts w:ascii="Times New Roman" w:hAnsi="Times New Roman" w:cs="Times New Roman"/>
          <w:lang w:val="en-US"/>
        </w:rPr>
        <w:t xml:space="preserve"> </w:t>
      </w:r>
    </w:p>
  </w:footnote>
  <w:footnote w:id="13">
    <w:p w14:paraId="6E3DA9E4" w14:textId="0BC64905" w:rsidR="00A94733" w:rsidRPr="001825F3" w:rsidRDefault="00A94733" w:rsidP="00BD5D02">
      <w:pPr>
        <w:pStyle w:val="Textonotapie"/>
        <w:ind w:firstLine="0"/>
        <w:jc w:val="left"/>
        <w:rPr>
          <w:rFonts w:ascii="Times New Roman" w:hAnsi="Times New Roman" w:cs="Times New Roman"/>
          <w:lang w:val="en-GB"/>
        </w:rPr>
      </w:pPr>
      <w:r w:rsidRPr="001825F3">
        <w:rPr>
          <w:rStyle w:val="Refdenotaalpie"/>
          <w:rFonts w:ascii="Times New Roman" w:hAnsi="Times New Roman" w:cs="Times New Roman"/>
        </w:rPr>
        <w:footnoteRef/>
      </w:r>
      <w:r w:rsidRPr="001825F3">
        <w:rPr>
          <w:rFonts w:ascii="Times New Roman" w:hAnsi="Times New Roman" w:cs="Times New Roman"/>
          <w:lang w:val="en-GB"/>
        </w:rPr>
        <w:t xml:space="preserve"> </w:t>
      </w:r>
      <w:r w:rsidRPr="001825F3">
        <w:rPr>
          <w:rFonts w:ascii="Times New Roman" w:eastAsia="Garamond" w:hAnsi="Times New Roman" w:cs="Times New Roman"/>
          <w:lang w:val="en-GB"/>
        </w:rPr>
        <w:t>Beyond existence, the crucial questions are: How are they structured in the nexus? Which ones are considered the most basic? Which are considered important? Which ones are considered at odd with others? How many are problematic? Which ones come on top as a practical priority in the present context? The point is to see if they build coherently in the nexus or not.</w:t>
      </w:r>
    </w:p>
  </w:footnote>
  <w:footnote w:id="14">
    <w:p w14:paraId="4EAB902E" w14:textId="2D7736B2" w:rsidR="00A94733" w:rsidRPr="001825F3" w:rsidRDefault="00A94733" w:rsidP="00BD5D02">
      <w:pPr>
        <w:pStyle w:val="Textonotapie"/>
        <w:ind w:firstLine="0"/>
        <w:jc w:val="left"/>
        <w:rPr>
          <w:rFonts w:ascii="Times New Roman" w:hAnsi="Times New Roman" w:cs="Times New Roman"/>
          <w:lang w:val="en-US"/>
        </w:rPr>
      </w:pPr>
      <w:r w:rsidRPr="001825F3">
        <w:rPr>
          <w:rStyle w:val="Refdenotaalpie"/>
          <w:rFonts w:ascii="Times New Roman" w:hAnsi="Times New Roman" w:cs="Times New Roman"/>
        </w:rPr>
        <w:footnoteRef/>
      </w:r>
      <w:r w:rsidRPr="001825F3">
        <w:rPr>
          <w:rFonts w:ascii="Times New Roman" w:hAnsi="Times New Roman" w:cs="Times New Roman"/>
          <w:lang w:val="en-GB"/>
        </w:rPr>
        <w:t xml:space="preserve"> </w:t>
      </w:r>
      <w:r w:rsidRPr="001825F3">
        <w:rPr>
          <w:rFonts w:ascii="Times New Roman" w:hAnsi="Times New Roman" w:cs="Times New Roman"/>
          <w:lang w:val="en-US"/>
        </w:rPr>
        <w:t xml:space="preserve">We use here the word in the specific sense given to it by Bourdieu: "The conditionings associated with a particular class of conditions of existence produce </w:t>
      </w:r>
      <w:r w:rsidRPr="001825F3">
        <w:rPr>
          <w:rFonts w:ascii="Times New Roman" w:hAnsi="Times New Roman" w:cs="Times New Roman"/>
          <w:i/>
          <w:iCs/>
          <w:lang w:val="en-US"/>
        </w:rPr>
        <w:t>habitus</w:t>
      </w:r>
      <w:r w:rsidRPr="001825F3">
        <w:rPr>
          <w:rFonts w:ascii="Times New Roman" w:hAnsi="Times New Roman" w:cs="Times New Roman"/>
          <w:lang w:val="en-US"/>
        </w:rPr>
        <w:t xml:space="preserve">, systems of durable, transposable dispositions, structured structures predisposed to function as structuring structures, that is, as principles which generate and organize practices and representations that can be objectively adapted to their outcomes without presupposing a conscious aiming at ends or an express mastery of the operations necessary in order to attain them" </w:t>
      </w:r>
      <w:r w:rsidRPr="001825F3">
        <w:rPr>
          <w:rFonts w:ascii="Times New Roman" w:hAnsi="Times New Roman" w:cs="Times New Roman"/>
          <w:smallCaps/>
          <w:lang w:val="en-US"/>
        </w:rPr>
        <w:t>Bourdieu</w:t>
      </w:r>
      <w:r w:rsidRPr="001825F3">
        <w:rPr>
          <w:rFonts w:ascii="Times New Roman" w:hAnsi="Times New Roman" w:cs="Times New Roman"/>
          <w:lang w:val="en-US"/>
        </w:rPr>
        <w:t xml:space="preserve">, P., (1990). </w:t>
      </w:r>
      <w:r w:rsidRPr="001825F3">
        <w:rPr>
          <w:rFonts w:ascii="Times New Roman" w:hAnsi="Times New Roman" w:cs="Times New Roman"/>
          <w:i/>
          <w:iCs/>
          <w:lang w:val="en-US"/>
        </w:rPr>
        <w:t>The logic of practice</w:t>
      </w:r>
      <w:r w:rsidRPr="001825F3">
        <w:rPr>
          <w:rFonts w:ascii="Times New Roman" w:hAnsi="Times New Roman" w:cs="Times New Roman"/>
          <w:lang w:val="en-US"/>
        </w:rPr>
        <w:t>, Stanford: Stanford University Press, 53.</w:t>
      </w:r>
    </w:p>
  </w:footnote>
  <w:footnote w:id="15">
    <w:p w14:paraId="720AE556" w14:textId="61DB9CEF" w:rsidR="00A94733" w:rsidRPr="001825F3" w:rsidRDefault="00A94733" w:rsidP="00A555B8">
      <w:pPr>
        <w:pStyle w:val="Textonotapie"/>
        <w:ind w:firstLine="0"/>
        <w:rPr>
          <w:lang w:val="en-US"/>
        </w:rPr>
      </w:pPr>
      <w:r w:rsidRPr="001825F3">
        <w:rPr>
          <w:rStyle w:val="Refdenotaalpie"/>
        </w:rPr>
        <w:footnoteRef/>
      </w:r>
      <w:r w:rsidRPr="001825F3">
        <w:rPr>
          <w:lang w:val="en-US"/>
        </w:rPr>
        <w:t xml:space="preserve"> </w:t>
      </w:r>
      <w:r w:rsidRPr="001825F3">
        <w:rPr>
          <w:noProof/>
          <w:sz w:val="24"/>
          <w:szCs w:val="24"/>
          <w:lang w:val="en-GB"/>
        </w:rPr>
        <w:t>for a much more detailed presentation of the instrument see this issue of Garza Vázquez &amp; Ramirez.</w:t>
      </w:r>
    </w:p>
  </w:footnote>
  <w:footnote w:id="16">
    <w:p w14:paraId="0FC2C658" w14:textId="4B4211FD" w:rsidR="004168FE" w:rsidRPr="001825F3" w:rsidRDefault="004168FE" w:rsidP="004168FE">
      <w:pPr>
        <w:pStyle w:val="Textonotapie"/>
        <w:ind w:firstLine="0"/>
        <w:rPr>
          <w:lang w:val="en-US"/>
        </w:rPr>
      </w:pPr>
      <w:r w:rsidRPr="001825F3">
        <w:rPr>
          <w:rStyle w:val="Refdenotaalpie"/>
        </w:rPr>
        <w:footnoteRef/>
      </w:r>
      <w:r w:rsidRPr="001825F3">
        <w:rPr>
          <w:lang w:val="en-US"/>
        </w:rPr>
        <w:t xml:space="preserve"> </w:t>
      </w:r>
      <w:r w:rsidR="00756AB2" w:rsidRPr="001825F3">
        <w:rPr>
          <w:lang w:val="en-US"/>
        </w:rPr>
        <w:t>An a</w:t>
      </w:r>
      <w:r w:rsidRPr="001825F3">
        <w:rPr>
          <w:lang w:val="en-US"/>
        </w:rPr>
        <w:t>lternatives method to gauge exogenous thresholds</w:t>
      </w:r>
      <w:r w:rsidR="00756AB2" w:rsidRPr="001825F3">
        <w:rPr>
          <w:lang w:val="en-US"/>
        </w:rPr>
        <w:t xml:space="preserve"> could be Bayesian equations systems. Other methods have also </w:t>
      </w:r>
      <w:proofErr w:type="gramStart"/>
      <w:r w:rsidR="00756AB2" w:rsidRPr="001825F3">
        <w:rPr>
          <w:lang w:val="en-US"/>
        </w:rPr>
        <w:t>be</w:t>
      </w:r>
      <w:proofErr w:type="gramEnd"/>
      <w:r w:rsidR="00756AB2" w:rsidRPr="001825F3">
        <w:rPr>
          <w:lang w:val="en-US"/>
        </w:rPr>
        <w:t xml:space="preserve"> considered but not applied. </w:t>
      </w:r>
    </w:p>
  </w:footnote>
  <w:footnote w:id="17">
    <w:p w14:paraId="1495046C" w14:textId="67D6E180" w:rsidR="009B4475" w:rsidRPr="001825F3" w:rsidRDefault="009B4475" w:rsidP="009B4475">
      <w:pPr>
        <w:pStyle w:val="Textonotapie"/>
        <w:ind w:firstLine="0"/>
        <w:rPr>
          <w:lang w:val="en-US"/>
        </w:rPr>
      </w:pPr>
      <w:r w:rsidRPr="001825F3">
        <w:rPr>
          <w:rStyle w:val="Refdenotaalpie"/>
        </w:rPr>
        <w:footnoteRef/>
      </w:r>
      <w:r w:rsidRPr="001825F3">
        <w:rPr>
          <w:lang w:val="en-US"/>
        </w:rPr>
        <w:t xml:space="preserve"> Our approach is normative. We therefore set that some social dynamics add to a common good dynamic whereas their absence or an altogether opposite SD will disrupt the emergence of a common good dynamics. Mind however that in our understanding the list of habitus and basic common goods are open ones that should be discussed and decided by local communities. But as a metric and for the sake of comparison, we needed to settle for a specific set of habitus and basic common goods.</w:t>
      </w:r>
    </w:p>
  </w:footnote>
  <w:footnote w:id="18">
    <w:p w14:paraId="064C3C73" w14:textId="484E164E" w:rsidR="009B4475" w:rsidRPr="001825F3" w:rsidRDefault="00A94733" w:rsidP="00593701">
      <w:pPr>
        <w:pStyle w:val="Textonotapie"/>
        <w:ind w:firstLine="0"/>
        <w:rPr>
          <w:lang w:val="en-US"/>
        </w:rPr>
      </w:pPr>
      <w:r w:rsidRPr="001825F3">
        <w:rPr>
          <w:rStyle w:val="Refdenotaalpie"/>
        </w:rPr>
        <w:footnoteRef/>
      </w:r>
      <w:r w:rsidRPr="001825F3">
        <w:rPr>
          <w:lang w:val="en-US"/>
        </w:rPr>
        <w:t xml:space="preserve"> </w:t>
      </w:r>
      <w:r w:rsidR="009B4475" w:rsidRPr="001825F3">
        <w:rPr>
          <w:lang w:val="en-US"/>
        </w:rPr>
        <w:t xml:space="preserve">‘Negative’ describes here a social dynamic opposed to the positive one. It is not characterized in itself, but only by this opposition. Such ‘unity of opposition’ may well actually suppose a diversity of practices. There may be different types of oppositions and not necessarily articulated between them, like opposition parties against a ruling party. However, as far as we are concerned, regarding the </w:t>
      </w:r>
      <w:r w:rsidR="009B4475" w:rsidRPr="001825F3">
        <w:rPr>
          <w:i/>
          <w:iCs/>
          <w:lang w:val="en-US"/>
        </w:rPr>
        <w:t>stability</w:t>
      </w:r>
      <w:r w:rsidR="009B4475" w:rsidRPr="001825F3">
        <w:rPr>
          <w:lang w:val="en-US"/>
        </w:rPr>
        <w:t xml:space="preserve"> of social dynamic, what matters is the size of the opposition and the size of the ‘undecided’ people, as argued in the previous point. As such, all forms of oppositions may be counted as one.</w:t>
      </w:r>
    </w:p>
  </w:footnote>
  <w:footnote w:id="19">
    <w:p w14:paraId="720B9924" w14:textId="3DF69410" w:rsidR="00A94733" w:rsidRPr="001825F3" w:rsidRDefault="00A94733" w:rsidP="00F471C3">
      <w:pPr>
        <w:pStyle w:val="Textonotapie"/>
        <w:ind w:firstLine="0"/>
        <w:rPr>
          <w:rFonts w:ascii="Times New Roman" w:hAnsi="Times New Roman" w:cs="Times New Roman"/>
          <w:lang w:val="en-US"/>
        </w:rPr>
      </w:pPr>
      <w:r w:rsidRPr="001825F3">
        <w:rPr>
          <w:rStyle w:val="Refdenotaalpie"/>
          <w:rFonts w:ascii="Times New Roman" w:hAnsi="Times New Roman" w:cs="Times New Roman"/>
        </w:rPr>
        <w:footnoteRef/>
      </w:r>
      <w:r w:rsidR="006B7EB6" w:rsidRPr="001825F3">
        <w:rPr>
          <w:rFonts w:ascii="Times New Roman" w:hAnsi="Times New Roman" w:cs="Times New Roman"/>
          <w:lang w:val="en-US"/>
        </w:rPr>
        <w:t xml:space="preserve"> Due to some limitations in</w:t>
      </w:r>
      <w:r w:rsidRPr="001825F3">
        <w:rPr>
          <w:rFonts w:ascii="Times New Roman" w:hAnsi="Times New Roman" w:cs="Times New Roman"/>
          <w:lang w:val="en-US"/>
        </w:rPr>
        <w:t xml:space="preserve"> the sample, the results of the pilot probe are not robust enough to qualify for statistic validity. Nonetheless, we can use them to give examples of what sort of information may be gathered from the metric and which added value it may have for development policies. The common good </w:t>
      </w:r>
      <w:r w:rsidR="006B7EB6" w:rsidRPr="001825F3">
        <w:rPr>
          <w:rFonts w:ascii="Times New Roman" w:hAnsi="Times New Roman" w:cs="Times New Roman"/>
          <w:lang w:val="en-US"/>
        </w:rPr>
        <w:t>dynamics’</w:t>
      </w:r>
      <w:r w:rsidRPr="001825F3">
        <w:rPr>
          <w:rFonts w:ascii="Times New Roman" w:hAnsi="Times New Roman" w:cs="Times New Roman"/>
          <w:lang w:val="en-US"/>
        </w:rPr>
        <w:t xml:space="preserve"> instrument (the questionnaire) used for this pilot</w:t>
      </w:r>
      <w:r w:rsidR="006B7EB6" w:rsidRPr="001825F3">
        <w:rPr>
          <w:rFonts w:ascii="Times New Roman" w:hAnsi="Times New Roman" w:cs="Times New Roman"/>
          <w:lang w:val="en-US"/>
        </w:rPr>
        <w:t xml:space="preserve"> probe was version 14, </w:t>
      </w:r>
      <w:r w:rsidRPr="001825F3">
        <w:rPr>
          <w:rFonts w:ascii="Times New Roman" w:hAnsi="Times New Roman" w:cs="Times New Roman"/>
          <w:lang w:val="en-US"/>
        </w:rPr>
        <w:t xml:space="preserve">amended to version 19, which is the one described previously in this article. </w:t>
      </w:r>
    </w:p>
  </w:footnote>
  <w:footnote w:id="20">
    <w:p w14:paraId="19E4CCA9" w14:textId="66AE36C3" w:rsidR="00A94733" w:rsidRPr="00CD2C63" w:rsidRDefault="00A94733" w:rsidP="00E42C2D">
      <w:pPr>
        <w:pStyle w:val="Textonotapie"/>
        <w:ind w:firstLine="0"/>
        <w:rPr>
          <w:rFonts w:ascii="Times New Roman" w:hAnsi="Times New Roman" w:cs="Times New Roman"/>
          <w:lang w:val="en-US"/>
        </w:rPr>
      </w:pPr>
      <w:r w:rsidRPr="001825F3">
        <w:rPr>
          <w:rStyle w:val="Refdenotaalpie"/>
          <w:rFonts w:ascii="Times New Roman" w:hAnsi="Times New Roman" w:cs="Times New Roman"/>
        </w:rPr>
        <w:footnoteRef/>
      </w:r>
      <w:r w:rsidRPr="001825F3">
        <w:rPr>
          <w:rFonts w:ascii="Times New Roman" w:hAnsi="Times New Roman" w:cs="Times New Roman"/>
          <w:lang w:val="en-US"/>
        </w:rPr>
        <w:t xml:space="preserve"> Ocotepec is a sm</w:t>
      </w:r>
      <w:r w:rsidR="006B7EB6" w:rsidRPr="001825F3">
        <w:rPr>
          <w:rFonts w:ascii="Times New Roman" w:hAnsi="Times New Roman" w:cs="Times New Roman"/>
          <w:lang w:val="en-US"/>
        </w:rPr>
        <w:t>all, rural municipality of the s</w:t>
      </w:r>
      <w:r w:rsidRPr="001825F3">
        <w:rPr>
          <w:rFonts w:ascii="Times New Roman" w:hAnsi="Times New Roman" w:cs="Times New Roman"/>
          <w:lang w:val="en-US"/>
        </w:rPr>
        <w:t>tate of Puebla with a total population of about 4</w:t>
      </w:r>
      <w:r w:rsidR="006B7EB6" w:rsidRPr="001825F3">
        <w:rPr>
          <w:rFonts w:ascii="Times New Roman" w:hAnsi="Times New Roman" w:cs="Times New Roman"/>
          <w:lang w:val="en-US"/>
        </w:rPr>
        <w:t>,</w:t>
      </w:r>
      <w:r w:rsidRPr="001825F3">
        <w:rPr>
          <w:rFonts w:ascii="Times New Roman" w:hAnsi="Times New Roman" w:cs="Times New Roman"/>
          <w:lang w:val="en-US"/>
        </w:rPr>
        <w:t>779 people (2015). The municipality span</w:t>
      </w:r>
      <w:r w:rsidR="006B7EB6" w:rsidRPr="001825F3">
        <w:rPr>
          <w:rFonts w:ascii="Times New Roman" w:hAnsi="Times New Roman" w:cs="Times New Roman"/>
          <w:lang w:val="en-US"/>
        </w:rPr>
        <w:t>s</w:t>
      </w:r>
      <w:r w:rsidRPr="001825F3">
        <w:rPr>
          <w:rFonts w:ascii="Times New Roman" w:hAnsi="Times New Roman" w:cs="Times New Roman"/>
          <w:lang w:val="en-US"/>
        </w:rPr>
        <w:t xml:space="preserve"> over a landscape of steep hills and is mainly dedicated to subsistence agriculture. It is overwhelmingly poor (76% of the population) with 16% living in extreme poverty and a further 20% being vulnerable. Only 2% of the population is said to be not poor and not vulnerable (CONEVAL 2015). A central v</w:t>
      </w:r>
      <w:r w:rsidR="006B7EB6" w:rsidRPr="001825F3">
        <w:rPr>
          <w:rFonts w:ascii="Times New Roman" w:hAnsi="Times New Roman" w:cs="Times New Roman"/>
          <w:lang w:val="en-US"/>
        </w:rPr>
        <w:t xml:space="preserve">illage called Ocotepec gives </w:t>
      </w:r>
      <w:r w:rsidRPr="001825F3">
        <w:rPr>
          <w:rFonts w:ascii="Times New Roman" w:hAnsi="Times New Roman" w:cs="Times New Roman"/>
          <w:lang w:val="en-US"/>
        </w:rPr>
        <w:t>the municipality its mane. In the hills are several ‘communities’ most of them bilingual (Nahuatl/Spanish) poorly connected by dust road</w:t>
      </w:r>
      <w:r w:rsidR="006B7EB6" w:rsidRPr="001825F3">
        <w:rPr>
          <w:rFonts w:ascii="Times New Roman" w:hAnsi="Times New Roman" w:cs="Times New Roman"/>
          <w:lang w:val="en-US"/>
        </w:rPr>
        <w:t>s</w:t>
      </w:r>
      <w:r w:rsidRPr="001825F3">
        <w:rPr>
          <w:rFonts w:ascii="Times New Roman" w:hAnsi="Times New Roman" w:cs="Times New Roman"/>
          <w:lang w:val="en-US"/>
        </w:rPr>
        <w:t>. The municipality has a long history, at least dating back to the Conquista, and was most probably built on the previ</w:t>
      </w:r>
      <w:r w:rsidR="006B7EB6" w:rsidRPr="001825F3">
        <w:rPr>
          <w:rFonts w:ascii="Times New Roman" w:hAnsi="Times New Roman" w:cs="Times New Roman"/>
          <w:lang w:val="en-US"/>
        </w:rPr>
        <w:t>ous indigenous village. We administ</w:t>
      </w:r>
      <w:r w:rsidRPr="001825F3">
        <w:rPr>
          <w:rFonts w:ascii="Times New Roman" w:hAnsi="Times New Roman" w:cs="Times New Roman"/>
          <w:lang w:val="en-US"/>
        </w:rPr>
        <w:t>e</w:t>
      </w:r>
      <w:r w:rsidR="006B7EB6" w:rsidRPr="001825F3">
        <w:rPr>
          <w:rFonts w:ascii="Times New Roman" w:hAnsi="Times New Roman" w:cs="Times New Roman"/>
          <w:lang w:val="en-US"/>
        </w:rPr>
        <w:t>re</w:t>
      </w:r>
      <w:r w:rsidRPr="001825F3">
        <w:rPr>
          <w:rFonts w:ascii="Times New Roman" w:hAnsi="Times New Roman" w:cs="Times New Roman"/>
          <w:lang w:val="en-US"/>
        </w:rPr>
        <w:t>d 280 questionnaires in July 2019, with the help of the local government.</w:t>
      </w:r>
      <w:r w:rsidRPr="00CD2C63">
        <w:rPr>
          <w:rFonts w:ascii="Times New Roman" w:hAnsi="Times New Roman" w:cs="Times New Roman"/>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EB06A" w14:textId="66392AD0" w:rsidR="00A94733" w:rsidRPr="007623CF" w:rsidRDefault="00A94733" w:rsidP="007623CF">
    <w:pPr>
      <w:pStyle w:val="Encabezado"/>
      <w:jc w:val="right"/>
      <w:rPr>
        <w:sz w:val="16"/>
        <w:szCs w:val="16"/>
        <w:lang w:val="fr-FR"/>
      </w:rPr>
    </w:pPr>
    <w:r w:rsidRPr="007623CF">
      <w:rPr>
        <w:sz w:val="18"/>
        <w:szCs w:val="18"/>
        <w:lang w:val="fr-FR"/>
      </w:rPr>
      <w:t xml:space="preserve">Rivista Internazionale di Scienze Sociali, </w:t>
    </w:r>
    <w:r w:rsidRPr="007623CF">
      <w:rPr>
        <w:sz w:val="18"/>
        <w:szCs w:val="16"/>
        <w:lang w:val="fr-FR"/>
      </w:rPr>
      <w:t>year, n. x, pp. xx-xx</w:t>
    </w:r>
  </w:p>
  <w:p w14:paraId="464B3D94" w14:textId="00D4982D" w:rsidR="00A94733" w:rsidRPr="007623CF" w:rsidRDefault="00A94733" w:rsidP="007623CF">
    <w:pPr>
      <w:pStyle w:val="Encabezado"/>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26994"/>
    <w:multiLevelType w:val="hybridMultilevel"/>
    <w:tmpl w:val="5568C9B6"/>
    <w:lvl w:ilvl="0" w:tplc="34A4F7AE">
      <w:start w:val="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9E5FA7"/>
    <w:multiLevelType w:val="hybridMultilevel"/>
    <w:tmpl w:val="53961F0C"/>
    <w:lvl w:ilvl="0" w:tplc="1E3423C2">
      <w:numFmt w:val="bullet"/>
      <w:lvlText w:val="-"/>
      <w:lvlJc w:val="left"/>
      <w:pPr>
        <w:ind w:left="720" w:hanging="360"/>
      </w:pPr>
      <w:rPr>
        <w:rFonts w:ascii="Calibri" w:eastAsiaTheme="minorHAnsi" w:hAnsi="Calibri" w:cs="Calibr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DA1FD2"/>
    <w:multiLevelType w:val="hybridMultilevel"/>
    <w:tmpl w:val="A2368EC2"/>
    <w:lvl w:ilvl="0" w:tplc="D0D635F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7D3615"/>
    <w:multiLevelType w:val="hybridMultilevel"/>
    <w:tmpl w:val="222EA826"/>
    <w:lvl w:ilvl="0" w:tplc="5268B18E">
      <w:start w:val="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0753D6B"/>
    <w:multiLevelType w:val="multilevel"/>
    <w:tmpl w:val="CF64AB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145751"/>
    <w:multiLevelType w:val="hybridMultilevel"/>
    <w:tmpl w:val="A2368EC2"/>
    <w:lvl w:ilvl="0" w:tplc="D0D635F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7481BCE"/>
    <w:multiLevelType w:val="hybridMultilevel"/>
    <w:tmpl w:val="2FE8679E"/>
    <w:lvl w:ilvl="0" w:tplc="F284457C">
      <w:start w:val="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6FF008B"/>
    <w:multiLevelType w:val="hybridMultilevel"/>
    <w:tmpl w:val="F5D6A9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9EF46FB"/>
    <w:multiLevelType w:val="hybridMultilevel"/>
    <w:tmpl w:val="A2368EC2"/>
    <w:lvl w:ilvl="0" w:tplc="D0D635F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69F0A53"/>
    <w:multiLevelType w:val="hybridMultilevel"/>
    <w:tmpl w:val="0D0CC29E"/>
    <w:lvl w:ilvl="0" w:tplc="24E4897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0"/>
  </w:num>
  <w:num w:numId="5">
    <w:abstractNumId w:val="7"/>
  </w:num>
  <w:num w:numId="6">
    <w:abstractNumId w:val="6"/>
  </w:num>
  <w:num w:numId="7">
    <w:abstractNumId w:val="3"/>
  </w:num>
  <w:num w:numId="8">
    <w:abstractNumId w:val="1"/>
  </w:num>
  <w:num w:numId="9">
    <w:abstractNumId w:val="9"/>
  </w:num>
  <w:num w:numId="10">
    <w:abstractNumId w:val="4"/>
    <w:lvlOverride w:ilvl="0">
      <w:lvl w:ilvl="0">
        <w:numFmt w:val="upperRoman"/>
        <w:lvlText w:val="%1."/>
        <w:lvlJc w:val="right"/>
      </w:lvl>
    </w:lvlOverride>
  </w:num>
  <w:num w:numId="11">
    <w:abstractNumId w:val="4"/>
    <w:lvlOverride w:ilvl="0">
      <w:lvl w:ilvl="0">
        <w:numFmt w:val="upperRoman"/>
        <w:lvlText w:val="%1."/>
        <w:lvlJc w:val="righ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943"/>
    <w:rsid w:val="00012888"/>
    <w:rsid w:val="00015A75"/>
    <w:rsid w:val="000212EF"/>
    <w:rsid w:val="00046941"/>
    <w:rsid w:val="00081A66"/>
    <w:rsid w:val="00091867"/>
    <w:rsid w:val="000B08F0"/>
    <w:rsid w:val="000C30D3"/>
    <w:rsid w:val="000C728F"/>
    <w:rsid w:val="000D4350"/>
    <w:rsid w:val="000D5470"/>
    <w:rsid w:val="000E5BA6"/>
    <w:rsid w:val="00110E21"/>
    <w:rsid w:val="001114E6"/>
    <w:rsid w:val="00116EA9"/>
    <w:rsid w:val="00134FDE"/>
    <w:rsid w:val="00143DBD"/>
    <w:rsid w:val="001474B6"/>
    <w:rsid w:val="00154723"/>
    <w:rsid w:val="00157F8E"/>
    <w:rsid w:val="00161594"/>
    <w:rsid w:val="00165F6C"/>
    <w:rsid w:val="001825F3"/>
    <w:rsid w:val="001B3284"/>
    <w:rsid w:val="001D5F74"/>
    <w:rsid w:val="001D7008"/>
    <w:rsid w:val="00204F61"/>
    <w:rsid w:val="00235765"/>
    <w:rsid w:val="002368A4"/>
    <w:rsid w:val="00236D2C"/>
    <w:rsid w:val="0024202B"/>
    <w:rsid w:val="00250DEA"/>
    <w:rsid w:val="002559B5"/>
    <w:rsid w:val="002709E1"/>
    <w:rsid w:val="00273627"/>
    <w:rsid w:val="002770B4"/>
    <w:rsid w:val="002919FF"/>
    <w:rsid w:val="002A4943"/>
    <w:rsid w:val="002B6DE9"/>
    <w:rsid w:val="002C019A"/>
    <w:rsid w:val="002C1249"/>
    <w:rsid w:val="002C21EE"/>
    <w:rsid w:val="002F438E"/>
    <w:rsid w:val="00336463"/>
    <w:rsid w:val="00357404"/>
    <w:rsid w:val="00357E17"/>
    <w:rsid w:val="003728E3"/>
    <w:rsid w:val="00383014"/>
    <w:rsid w:val="0038526C"/>
    <w:rsid w:val="00387185"/>
    <w:rsid w:val="003A0863"/>
    <w:rsid w:val="003C13E0"/>
    <w:rsid w:val="003C7698"/>
    <w:rsid w:val="003E19E5"/>
    <w:rsid w:val="003E4135"/>
    <w:rsid w:val="00405B2D"/>
    <w:rsid w:val="004104A4"/>
    <w:rsid w:val="00413840"/>
    <w:rsid w:val="004141A0"/>
    <w:rsid w:val="00414382"/>
    <w:rsid w:val="004168FE"/>
    <w:rsid w:val="00426B07"/>
    <w:rsid w:val="00437C1A"/>
    <w:rsid w:val="00440A25"/>
    <w:rsid w:val="00446B82"/>
    <w:rsid w:val="00453966"/>
    <w:rsid w:val="00480CBE"/>
    <w:rsid w:val="00482B77"/>
    <w:rsid w:val="00495A9A"/>
    <w:rsid w:val="004B200B"/>
    <w:rsid w:val="004B23A9"/>
    <w:rsid w:val="004D72AC"/>
    <w:rsid w:val="004E42FE"/>
    <w:rsid w:val="004F2D4F"/>
    <w:rsid w:val="004F2E27"/>
    <w:rsid w:val="004F4784"/>
    <w:rsid w:val="0052664D"/>
    <w:rsid w:val="00526CF0"/>
    <w:rsid w:val="00530973"/>
    <w:rsid w:val="00535565"/>
    <w:rsid w:val="00537282"/>
    <w:rsid w:val="00542DBA"/>
    <w:rsid w:val="0057096D"/>
    <w:rsid w:val="00571557"/>
    <w:rsid w:val="00592F58"/>
    <w:rsid w:val="005930C3"/>
    <w:rsid w:val="00593701"/>
    <w:rsid w:val="005976F0"/>
    <w:rsid w:val="00597A26"/>
    <w:rsid w:val="005B0378"/>
    <w:rsid w:val="005C752F"/>
    <w:rsid w:val="005D06AF"/>
    <w:rsid w:val="005D4E1A"/>
    <w:rsid w:val="005E206B"/>
    <w:rsid w:val="005F117C"/>
    <w:rsid w:val="005F7EAE"/>
    <w:rsid w:val="00606918"/>
    <w:rsid w:val="006134FC"/>
    <w:rsid w:val="00613575"/>
    <w:rsid w:val="00614DCB"/>
    <w:rsid w:val="006661EE"/>
    <w:rsid w:val="00672724"/>
    <w:rsid w:val="0068128E"/>
    <w:rsid w:val="006A4A8C"/>
    <w:rsid w:val="006B3DFB"/>
    <w:rsid w:val="006B7EB6"/>
    <w:rsid w:val="006C43FD"/>
    <w:rsid w:val="006C63E4"/>
    <w:rsid w:val="006C7AD4"/>
    <w:rsid w:val="006D1914"/>
    <w:rsid w:val="006D64F6"/>
    <w:rsid w:val="006E1CE1"/>
    <w:rsid w:val="006E435B"/>
    <w:rsid w:val="006F0F23"/>
    <w:rsid w:val="0070215D"/>
    <w:rsid w:val="00710F03"/>
    <w:rsid w:val="00724778"/>
    <w:rsid w:val="00733D87"/>
    <w:rsid w:val="00734312"/>
    <w:rsid w:val="0073721D"/>
    <w:rsid w:val="0075154C"/>
    <w:rsid w:val="0075339E"/>
    <w:rsid w:val="00756AB2"/>
    <w:rsid w:val="007623CF"/>
    <w:rsid w:val="00775312"/>
    <w:rsid w:val="007B4BB3"/>
    <w:rsid w:val="007B6724"/>
    <w:rsid w:val="007C1631"/>
    <w:rsid w:val="007C6440"/>
    <w:rsid w:val="007D654E"/>
    <w:rsid w:val="007D7069"/>
    <w:rsid w:val="007E17EF"/>
    <w:rsid w:val="007F3FDE"/>
    <w:rsid w:val="007F6572"/>
    <w:rsid w:val="00810AD0"/>
    <w:rsid w:val="00813FBE"/>
    <w:rsid w:val="00817970"/>
    <w:rsid w:val="00832FFA"/>
    <w:rsid w:val="00837B9E"/>
    <w:rsid w:val="00853C8F"/>
    <w:rsid w:val="00857948"/>
    <w:rsid w:val="0086346F"/>
    <w:rsid w:val="00864C06"/>
    <w:rsid w:val="008740AF"/>
    <w:rsid w:val="00875E1A"/>
    <w:rsid w:val="008860A0"/>
    <w:rsid w:val="00886927"/>
    <w:rsid w:val="00886EA7"/>
    <w:rsid w:val="0088783F"/>
    <w:rsid w:val="00887D42"/>
    <w:rsid w:val="008A393C"/>
    <w:rsid w:val="008B3F79"/>
    <w:rsid w:val="008B6C9C"/>
    <w:rsid w:val="008C4002"/>
    <w:rsid w:val="008E4104"/>
    <w:rsid w:val="008E7DA9"/>
    <w:rsid w:val="00902090"/>
    <w:rsid w:val="0092010C"/>
    <w:rsid w:val="00920CD8"/>
    <w:rsid w:val="00923ED7"/>
    <w:rsid w:val="00924B58"/>
    <w:rsid w:val="009302AE"/>
    <w:rsid w:val="00950A90"/>
    <w:rsid w:val="00953731"/>
    <w:rsid w:val="00962339"/>
    <w:rsid w:val="0097603E"/>
    <w:rsid w:val="00976CFA"/>
    <w:rsid w:val="00983F4C"/>
    <w:rsid w:val="009B3A26"/>
    <w:rsid w:val="009B4475"/>
    <w:rsid w:val="009D01B4"/>
    <w:rsid w:val="009E6CC6"/>
    <w:rsid w:val="00A0229A"/>
    <w:rsid w:val="00A1302F"/>
    <w:rsid w:val="00A17D9B"/>
    <w:rsid w:val="00A267FE"/>
    <w:rsid w:val="00A47F88"/>
    <w:rsid w:val="00A555B8"/>
    <w:rsid w:val="00A6221E"/>
    <w:rsid w:val="00A65FAE"/>
    <w:rsid w:val="00A70598"/>
    <w:rsid w:val="00A71F34"/>
    <w:rsid w:val="00A77567"/>
    <w:rsid w:val="00A80A77"/>
    <w:rsid w:val="00A94733"/>
    <w:rsid w:val="00AD412E"/>
    <w:rsid w:val="00AD53C7"/>
    <w:rsid w:val="00AF7D47"/>
    <w:rsid w:val="00B102A0"/>
    <w:rsid w:val="00B10D6E"/>
    <w:rsid w:val="00B3690F"/>
    <w:rsid w:val="00B619B4"/>
    <w:rsid w:val="00B672C5"/>
    <w:rsid w:val="00B77118"/>
    <w:rsid w:val="00B86FDC"/>
    <w:rsid w:val="00B912C5"/>
    <w:rsid w:val="00BA0BAF"/>
    <w:rsid w:val="00BA1D8D"/>
    <w:rsid w:val="00BC5BCB"/>
    <w:rsid w:val="00BD1377"/>
    <w:rsid w:val="00BD5D02"/>
    <w:rsid w:val="00BF31B3"/>
    <w:rsid w:val="00C057F9"/>
    <w:rsid w:val="00C10F54"/>
    <w:rsid w:val="00C1379F"/>
    <w:rsid w:val="00C228D1"/>
    <w:rsid w:val="00C2456D"/>
    <w:rsid w:val="00C37BEE"/>
    <w:rsid w:val="00C5011B"/>
    <w:rsid w:val="00C57577"/>
    <w:rsid w:val="00C60C2F"/>
    <w:rsid w:val="00C6481A"/>
    <w:rsid w:val="00C91E8F"/>
    <w:rsid w:val="00C91F67"/>
    <w:rsid w:val="00C95112"/>
    <w:rsid w:val="00CB3E45"/>
    <w:rsid w:val="00CD2C63"/>
    <w:rsid w:val="00CD347F"/>
    <w:rsid w:val="00CD39DD"/>
    <w:rsid w:val="00CF28D1"/>
    <w:rsid w:val="00D1619B"/>
    <w:rsid w:val="00D23D6C"/>
    <w:rsid w:val="00D252B7"/>
    <w:rsid w:val="00D4283E"/>
    <w:rsid w:val="00D80D93"/>
    <w:rsid w:val="00D96FE1"/>
    <w:rsid w:val="00DA31AD"/>
    <w:rsid w:val="00DA459A"/>
    <w:rsid w:val="00DB6CB5"/>
    <w:rsid w:val="00DC6E25"/>
    <w:rsid w:val="00DF37B6"/>
    <w:rsid w:val="00E02BF4"/>
    <w:rsid w:val="00E110D2"/>
    <w:rsid w:val="00E22354"/>
    <w:rsid w:val="00E271A1"/>
    <w:rsid w:val="00E36B83"/>
    <w:rsid w:val="00E407F4"/>
    <w:rsid w:val="00E42C2D"/>
    <w:rsid w:val="00E44694"/>
    <w:rsid w:val="00E51132"/>
    <w:rsid w:val="00E66E8A"/>
    <w:rsid w:val="00E73659"/>
    <w:rsid w:val="00E925CE"/>
    <w:rsid w:val="00E93EFA"/>
    <w:rsid w:val="00E9662D"/>
    <w:rsid w:val="00EA0CDC"/>
    <w:rsid w:val="00EA34CA"/>
    <w:rsid w:val="00EA7DD1"/>
    <w:rsid w:val="00EB3202"/>
    <w:rsid w:val="00EB4710"/>
    <w:rsid w:val="00ED0A69"/>
    <w:rsid w:val="00EE2BF6"/>
    <w:rsid w:val="00EF245E"/>
    <w:rsid w:val="00F14CB4"/>
    <w:rsid w:val="00F34273"/>
    <w:rsid w:val="00F36283"/>
    <w:rsid w:val="00F42315"/>
    <w:rsid w:val="00F471C3"/>
    <w:rsid w:val="00F4745F"/>
    <w:rsid w:val="00F57577"/>
    <w:rsid w:val="00F5766D"/>
    <w:rsid w:val="00F829AD"/>
    <w:rsid w:val="00F94340"/>
    <w:rsid w:val="00F9535E"/>
    <w:rsid w:val="00F956FA"/>
    <w:rsid w:val="00FB11B0"/>
    <w:rsid w:val="00FC030B"/>
    <w:rsid w:val="00FC041C"/>
    <w:rsid w:val="00FC4B67"/>
    <w:rsid w:val="00FD55B6"/>
    <w:rsid w:val="00FD7CC8"/>
    <w:rsid w:val="00FE7A1C"/>
    <w:rsid w:val="00FF47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D7D19"/>
  <w15:chartTrackingRefBased/>
  <w15:docId w15:val="{EF1D8402-8C59-443C-8540-634E97F4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C63"/>
    <w:rPr>
      <w:rFonts w:ascii="Times New Roman" w:hAnsi="Times New Roman"/>
    </w:rPr>
  </w:style>
  <w:style w:type="paragraph" w:styleId="Ttulo1">
    <w:name w:val="heading 1"/>
    <w:basedOn w:val="Normal"/>
    <w:next w:val="Normal"/>
    <w:link w:val="Ttulo1Car"/>
    <w:uiPriority w:val="9"/>
    <w:qFormat/>
    <w:rsid w:val="003A08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50D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0DEA"/>
  </w:style>
  <w:style w:type="paragraph" w:styleId="Piedepgina">
    <w:name w:val="footer"/>
    <w:basedOn w:val="Normal"/>
    <w:link w:val="PiedepginaCar"/>
    <w:uiPriority w:val="99"/>
    <w:unhideWhenUsed/>
    <w:rsid w:val="00250D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0DEA"/>
  </w:style>
  <w:style w:type="paragraph" w:styleId="Prrafodelista">
    <w:name w:val="List Paragraph"/>
    <w:basedOn w:val="Normal"/>
    <w:uiPriority w:val="34"/>
    <w:qFormat/>
    <w:rsid w:val="00250DEA"/>
    <w:pPr>
      <w:ind w:left="720"/>
      <w:contextualSpacing/>
    </w:pPr>
  </w:style>
  <w:style w:type="paragraph" w:styleId="Subttulo">
    <w:name w:val="Subtitle"/>
    <w:basedOn w:val="Normal"/>
    <w:next w:val="Normal"/>
    <w:link w:val="SubttuloCar"/>
    <w:uiPriority w:val="11"/>
    <w:qFormat/>
    <w:rsid w:val="00902090"/>
    <w:pPr>
      <w:numPr>
        <w:ilvl w:val="1"/>
      </w:numPr>
    </w:pPr>
    <w:rPr>
      <w:rFonts w:eastAsiaTheme="minorEastAsia"/>
      <w:color w:val="5A5A5A" w:themeColor="text1" w:themeTint="A5"/>
      <w:spacing w:val="15"/>
      <w:sz w:val="25"/>
    </w:rPr>
  </w:style>
  <w:style w:type="character" w:customStyle="1" w:styleId="SubttuloCar">
    <w:name w:val="Subtítulo Car"/>
    <w:basedOn w:val="Fuentedeprrafopredeter"/>
    <w:link w:val="Subttulo"/>
    <w:uiPriority w:val="11"/>
    <w:rsid w:val="00902090"/>
    <w:rPr>
      <w:rFonts w:eastAsiaTheme="minorEastAsia"/>
      <w:color w:val="5A5A5A" w:themeColor="text1" w:themeTint="A5"/>
      <w:spacing w:val="15"/>
      <w:sz w:val="25"/>
    </w:rPr>
  </w:style>
  <w:style w:type="character" w:customStyle="1" w:styleId="Ttulo1Car">
    <w:name w:val="Título 1 Car"/>
    <w:basedOn w:val="Fuentedeprrafopredeter"/>
    <w:link w:val="Ttulo1"/>
    <w:uiPriority w:val="9"/>
    <w:rsid w:val="003A0863"/>
    <w:rPr>
      <w:rFonts w:asciiTheme="majorHAnsi" w:eastAsiaTheme="majorEastAsia" w:hAnsiTheme="majorHAnsi" w:cstheme="majorBidi"/>
      <w:color w:val="2F5496" w:themeColor="accent1" w:themeShade="BF"/>
      <w:sz w:val="32"/>
      <w:szCs w:val="32"/>
    </w:rPr>
  </w:style>
  <w:style w:type="paragraph" w:styleId="Textonotapie">
    <w:name w:val="footnote text"/>
    <w:basedOn w:val="Normal"/>
    <w:link w:val="TextonotapieCar"/>
    <w:uiPriority w:val="99"/>
    <w:unhideWhenUsed/>
    <w:qFormat/>
    <w:rsid w:val="000E5BA6"/>
    <w:pPr>
      <w:spacing w:after="0" w:line="240" w:lineRule="auto"/>
      <w:ind w:firstLine="397"/>
      <w:jc w:val="both"/>
    </w:pPr>
    <w:rPr>
      <w:rFonts w:ascii="Garamond" w:eastAsiaTheme="minorEastAsia" w:hAnsi="Garamond"/>
      <w:sz w:val="20"/>
      <w:szCs w:val="20"/>
      <w:lang w:val="fr-FR"/>
    </w:rPr>
  </w:style>
  <w:style w:type="character" w:customStyle="1" w:styleId="TextonotapieCar">
    <w:name w:val="Texto nota pie Car"/>
    <w:basedOn w:val="Fuentedeprrafopredeter"/>
    <w:link w:val="Textonotapie"/>
    <w:uiPriority w:val="99"/>
    <w:rsid w:val="000E5BA6"/>
    <w:rPr>
      <w:rFonts w:ascii="Garamond" w:eastAsiaTheme="minorEastAsia" w:hAnsi="Garamond"/>
      <w:sz w:val="20"/>
      <w:szCs w:val="20"/>
      <w:lang w:val="fr-FR"/>
    </w:rPr>
  </w:style>
  <w:style w:type="character" w:styleId="Refdenotaalpie">
    <w:name w:val="footnote reference"/>
    <w:basedOn w:val="Fuentedeprrafopredeter"/>
    <w:uiPriority w:val="99"/>
    <w:unhideWhenUsed/>
    <w:qFormat/>
    <w:rsid w:val="000E5BA6"/>
    <w:rPr>
      <w:vertAlign w:val="superscript"/>
    </w:rPr>
  </w:style>
  <w:style w:type="character" w:customStyle="1" w:styleId="fontstyle01">
    <w:name w:val="fontstyle01"/>
    <w:basedOn w:val="Fuentedeprrafopredeter"/>
    <w:rsid w:val="000E5BA6"/>
    <w:rPr>
      <w:rFonts w:ascii="Times-Roman" w:hAnsi="Times-Roman" w:hint="default"/>
      <w:b w:val="0"/>
      <w:bCs w:val="0"/>
      <w:i w:val="0"/>
      <w:iCs w:val="0"/>
      <w:color w:val="000000"/>
      <w:sz w:val="24"/>
      <w:szCs w:val="24"/>
    </w:rPr>
  </w:style>
  <w:style w:type="table" w:styleId="Tablaconcuadrcula">
    <w:name w:val="Table Grid"/>
    <w:basedOn w:val="Tablanormal"/>
    <w:uiPriority w:val="59"/>
    <w:rsid w:val="00BD5D02"/>
    <w:pPr>
      <w:spacing w:after="0" w:line="240" w:lineRule="auto"/>
    </w:pPr>
    <w:rPr>
      <w:rFonts w:ascii="Times New Roman" w:eastAsiaTheme="minorEastAsia"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B08F0"/>
    <w:rPr>
      <w:color w:val="0563C1" w:themeColor="hyperlink"/>
      <w:u w:val="single"/>
    </w:rPr>
  </w:style>
  <w:style w:type="character" w:customStyle="1" w:styleId="Mencinsinresolver1">
    <w:name w:val="Mención sin resolver1"/>
    <w:basedOn w:val="Fuentedeprrafopredeter"/>
    <w:uiPriority w:val="99"/>
    <w:semiHidden/>
    <w:unhideWhenUsed/>
    <w:rsid w:val="000B08F0"/>
    <w:rPr>
      <w:color w:val="605E5C"/>
      <w:shd w:val="clear" w:color="auto" w:fill="E1DFDD"/>
    </w:rPr>
  </w:style>
  <w:style w:type="paragraph" w:styleId="NormalWeb">
    <w:name w:val="Normal (Web)"/>
    <w:basedOn w:val="Normal"/>
    <w:uiPriority w:val="99"/>
    <w:semiHidden/>
    <w:unhideWhenUsed/>
    <w:rsid w:val="003728E3"/>
    <w:pPr>
      <w:spacing w:before="100" w:beforeAutospacing="1" w:after="100" w:afterAutospacing="1" w:line="240" w:lineRule="auto"/>
    </w:pPr>
    <w:rPr>
      <w:rFonts w:eastAsia="Times New Roman" w:cs="Times New Roman"/>
      <w:sz w:val="24"/>
      <w:szCs w:val="24"/>
      <w:lang w:eastAsia="es-MX"/>
    </w:rPr>
  </w:style>
  <w:style w:type="paragraph" w:styleId="Textoindependiente2">
    <w:name w:val="Body Text 2"/>
    <w:basedOn w:val="Normal"/>
    <w:link w:val="Textoindependiente2Car"/>
    <w:rsid w:val="007623CF"/>
    <w:pPr>
      <w:spacing w:after="0" w:line="240" w:lineRule="auto"/>
      <w:jc w:val="both"/>
    </w:pPr>
    <w:rPr>
      <w:rFonts w:eastAsia="Times New Roman" w:cs="Times New Roman"/>
      <w:i/>
      <w:iCs/>
      <w:sz w:val="18"/>
      <w:szCs w:val="20"/>
      <w:lang w:val="it-IT" w:eastAsia="it-IT"/>
    </w:rPr>
  </w:style>
  <w:style w:type="character" w:customStyle="1" w:styleId="Textoindependiente2Car">
    <w:name w:val="Texto independiente 2 Car"/>
    <w:basedOn w:val="Fuentedeprrafopredeter"/>
    <w:link w:val="Textoindependiente2"/>
    <w:rsid w:val="007623CF"/>
    <w:rPr>
      <w:rFonts w:ascii="Times New Roman" w:eastAsia="Times New Roman" w:hAnsi="Times New Roman" w:cs="Times New Roman"/>
      <w:i/>
      <w:iCs/>
      <w:sz w:val="18"/>
      <w:szCs w:val="20"/>
      <w:lang w:val="it-IT" w:eastAsia="it-IT"/>
    </w:rPr>
  </w:style>
  <w:style w:type="paragraph" w:styleId="Ttulo">
    <w:name w:val="Title"/>
    <w:basedOn w:val="Normal"/>
    <w:next w:val="Normal"/>
    <w:link w:val="TtuloCar"/>
    <w:uiPriority w:val="10"/>
    <w:qFormat/>
    <w:rsid w:val="00CD2C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D2C63"/>
    <w:rPr>
      <w:rFonts w:asciiTheme="majorHAnsi" w:eastAsiaTheme="majorEastAsia" w:hAnsiTheme="majorHAnsi" w:cstheme="majorBidi"/>
      <w:spacing w:val="-10"/>
      <w:kern w:val="28"/>
      <w:sz w:val="56"/>
      <w:szCs w:val="56"/>
    </w:rPr>
  </w:style>
  <w:style w:type="paragraph" w:styleId="Textodeglobo">
    <w:name w:val="Balloon Text"/>
    <w:basedOn w:val="Normal"/>
    <w:link w:val="TextodegloboCar"/>
    <w:uiPriority w:val="99"/>
    <w:semiHidden/>
    <w:unhideWhenUsed/>
    <w:rsid w:val="008E7D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7D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89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21</Pages>
  <Words>8258</Words>
  <Characters>45420</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GROSSPAPAXS</dc:creator>
  <cp:keywords/>
  <dc:description/>
  <cp:lastModifiedBy>GROSSPAPAXS</cp:lastModifiedBy>
  <cp:revision>9</cp:revision>
  <dcterms:created xsi:type="dcterms:W3CDTF">2020-10-09T16:00:00Z</dcterms:created>
  <dcterms:modified xsi:type="dcterms:W3CDTF">2020-10-15T00:24:00Z</dcterms:modified>
</cp:coreProperties>
</file>